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081B9" w14:textId="77777777" w:rsidR="008801A4" w:rsidRPr="008801A4" w:rsidRDefault="008801A4" w:rsidP="008801A4">
      <w:pPr>
        <w:pStyle w:val="Heading1"/>
        <w:spacing w:before="0" w:after="0" w:line="480" w:lineRule="auto"/>
        <w:jc w:val="center"/>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233202164"/>
      <w:bookmarkStart w:id="1" w:name="_Toc235546077"/>
      <w:r w:rsidRPr="008801A4">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BAB V</w:t>
      </w:r>
      <w:bookmarkStart w:id="2" w:name="_Toc233202165"/>
      <w:bookmarkEnd w:id="0"/>
      <w:r w:rsidRPr="008801A4">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PENUTUP</w:t>
      </w:r>
      <w:bookmarkEnd w:id="1"/>
      <w:bookmarkEnd w:id="2"/>
    </w:p>
    <w:p w14:paraId="24AD4A6F" w14:textId="77777777" w:rsidR="008801A4" w:rsidRPr="00396CB8" w:rsidRDefault="008801A4" w:rsidP="008801A4">
      <w:pPr>
        <w:pStyle w:val="Heading2"/>
        <w:spacing w:before="0" w:line="480" w:lineRule="auto"/>
        <w:jc w:val="both"/>
        <w:rPr>
          <w:rFonts w:ascii="Times New Roman" w:hAnsi="Times New Roman" w:cs="Times New Roman"/>
          <w:b/>
          <w:bCs/>
          <w:color w:val="000000" w:themeColor="text1"/>
          <w:sz w:val="24"/>
          <w:szCs w:val="24"/>
          <w14:textOutline w14:w="0" w14:cap="flat" w14:cmpd="sng" w14:algn="ctr">
            <w14:noFill/>
            <w14:prstDash w14:val="solid"/>
            <w14:round/>
          </w14:textOutline>
        </w:rPr>
      </w:pPr>
      <w:bookmarkStart w:id="3" w:name="_Toc233202166"/>
      <w:bookmarkStart w:id="4" w:name="_Toc235546078"/>
      <w:r w:rsidRPr="00396CB8">
        <w:rPr>
          <w:rFonts w:ascii="Times New Roman" w:hAnsi="Times New Roman" w:cs="Times New Roman"/>
          <w:b/>
          <w:bCs/>
          <w:color w:val="000000" w:themeColor="text1"/>
          <w:sz w:val="24"/>
          <w:szCs w:val="24"/>
          <w14:textOutline w14:w="0" w14:cap="flat" w14:cmpd="sng" w14:algn="ctr">
            <w14:noFill/>
            <w14:prstDash w14:val="solid"/>
            <w14:round/>
          </w14:textOutline>
        </w:rPr>
        <w:t>5.1 Kesimpulan</w:t>
      </w:r>
      <w:bookmarkEnd w:id="3"/>
      <w:bookmarkEnd w:id="4"/>
    </w:p>
    <w:p w14:paraId="270D4EF4" w14:textId="77777777" w:rsidR="008801A4" w:rsidRDefault="008801A4" w:rsidP="008801A4">
      <w:pPr>
        <w:spacing w:line="480" w:lineRule="auto"/>
        <w:ind w:left="425" w:right="284" w:firstLine="720"/>
        <w:jc w:val="both"/>
        <w:rPr>
          <w:sz w:val="24"/>
          <w:szCs w:val="24"/>
        </w:rPr>
      </w:pPr>
      <w:r w:rsidRPr="00C34D76">
        <w:rPr>
          <w:sz w:val="24"/>
          <w:szCs w:val="24"/>
        </w:rPr>
        <w:t>Berdasarkan analisis hukum terhadap fakta-fakta yang terjadi di Desa Krisik, Kabupaten Blitar, sikap tidak aktif, tidak mengambil tindakan, atau kelalaian yang dilakukan oleh pemilik tanah tidak bisa langsung dianggap sebagai bagian dari perbuatan bersama dalam melakukan tindak pidana narkotika, sebagaimana diatur dalam Pasal 55 Kitab Undang-Undang Hukum Pidana. Dalam pokok hukum pidana, unsur mede plegen mengharuskan adanya kerja sama yang dilakukan secara sadar dan pelaksanaan tindakan secara fisik bersama guna menciptakan tindak pidana tersebut secara aktif. Pemilik lahan yang hanya bersifat pasif atau tidak hadir di lokasi saat proses penanaman dilakukan tidak memenuhi unsur kumulatif tersebut. Namun, jika terdapat bukti bahwa sikap pasif tersebut dilakukan secara sengaja dengan maksud memberikan kesempatan, sarana, atau kemudahan kepada pelaku utama, maka tindakan pemilik tanah tersebut dapat diklasifikasikan sebagai pembantu (</w:t>
      </w:r>
      <w:r w:rsidRPr="00C34D76">
        <w:rPr>
          <w:i/>
          <w:iCs/>
          <w:sz w:val="24"/>
          <w:szCs w:val="24"/>
        </w:rPr>
        <w:t>medeplichtigheid</w:t>
      </w:r>
      <w:r w:rsidRPr="00C34D76">
        <w:rPr>
          <w:sz w:val="24"/>
          <w:szCs w:val="24"/>
        </w:rPr>
        <w:t>) sesuai dengan Pasal 56 Kitab Undang-Undang Hukum Pidana. Jika tidak terbukti secara jelas adanya unsur kesengajaan atau hubungan sebab-akibat antara tingkah laku pembiaran dengan tindak pidana tersebut, maka berdasarkan prinsip hukum bahwa tidak ada pidana tanpa kesalahan, pemilik lahan tidak dapat dikenai tuntutan pidana hanya karena status kepemilikan tanahnya.</w:t>
      </w:r>
    </w:p>
    <w:p w14:paraId="449ABD2F" w14:textId="77777777" w:rsidR="008801A4" w:rsidRDefault="008801A4" w:rsidP="008801A4">
      <w:pPr>
        <w:spacing w:line="480" w:lineRule="auto"/>
        <w:ind w:left="425" w:right="284" w:firstLine="720"/>
        <w:jc w:val="both"/>
        <w:rPr>
          <w:sz w:val="24"/>
          <w:szCs w:val="24"/>
        </w:rPr>
        <w:sectPr w:rsidR="008801A4" w:rsidSect="008801A4">
          <w:headerReference w:type="default" r:id="rId7"/>
          <w:footerReference w:type="default" r:id="rId8"/>
          <w:pgSz w:w="11907" w:h="16840" w:code="9"/>
          <w:pgMar w:top="1701" w:right="1701" w:bottom="1701" w:left="2268" w:header="720" w:footer="720" w:gutter="0"/>
          <w:cols w:space="720"/>
          <w:docGrid w:linePitch="360"/>
        </w:sectPr>
      </w:pPr>
      <w:r w:rsidRPr="00C34D76">
        <w:rPr>
          <w:sz w:val="24"/>
          <w:szCs w:val="24"/>
        </w:rPr>
        <w:t xml:space="preserve">Pengakuan bahwa pemilik lahan tidak mengetahui adanya </w:t>
      </w:r>
    </w:p>
    <w:p w14:paraId="7F58860B" w14:textId="77777777" w:rsidR="008801A4" w:rsidRDefault="008801A4" w:rsidP="008801A4">
      <w:pPr>
        <w:spacing w:line="480" w:lineRule="auto"/>
        <w:ind w:left="567" w:right="283"/>
        <w:jc w:val="both"/>
        <w:rPr>
          <w:sz w:val="24"/>
          <w:szCs w:val="24"/>
        </w:rPr>
      </w:pPr>
      <w:r w:rsidRPr="00C34D76">
        <w:rPr>
          <w:sz w:val="24"/>
          <w:szCs w:val="24"/>
        </w:rPr>
        <w:lastRenderedPageBreak/>
        <w:t>tanaman ganja di atas tanahnya merupakan pertahanan yang menyerang pada unsur sikap batin atau kesalahan (</w:t>
      </w:r>
      <w:r w:rsidRPr="00C34D76">
        <w:rPr>
          <w:i/>
          <w:iCs/>
          <w:sz w:val="24"/>
          <w:szCs w:val="24"/>
        </w:rPr>
        <w:t>mens rea</w:t>
      </w:r>
      <w:r w:rsidRPr="00C34D76">
        <w:rPr>
          <w:sz w:val="24"/>
          <w:szCs w:val="24"/>
        </w:rPr>
        <w:t>). Berdasarkan Pasal 111 ayat (1) dan (2) Undang-Undang Nomor 35 Tahun 2009 tentang Narkotika, terdapat unsur objektif yang luas, seperti perbuatan "menguasai" atau "menyediakan". Dalam penerapan hukum narkotika, kepemilikan lahan umumnya dianggap secara otomatis berada pada pemilik lahan tersebut sebagai bentuk tanggung jawab ketat yang tidak langsung. Meskipun demikian, mengatakan "tidak tahu" tidak secara otomatis menghilangkan tanggung jawab hukum pemilik lahan. Pemilik lahan memiliki kewajiban secara hukum untuk menjaga dan mengawasi propertinya secara wajar. Jika ketidaktahuan tersebut muncul dari kelalaian yang berat (</w:t>
      </w:r>
      <w:r w:rsidRPr="00C34D76">
        <w:rPr>
          <w:i/>
          <w:iCs/>
          <w:sz w:val="24"/>
          <w:szCs w:val="24"/>
        </w:rPr>
        <w:t>culpa lata</w:t>
      </w:r>
      <w:r w:rsidRPr="00C34D76">
        <w:rPr>
          <w:sz w:val="24"/>
          <w:szCs w:val="24"/>
        </w:rPr>
        <w:t>) atau pengabaian yang sengaja, di mana pemilik tanah secara sadar tidak pernah melakukan pemeriksaan terhadap lahannya, maka kelalaian tersebut tetap dapat dijadikan dasar untuk memenuhi unsur kesalahan dalam tindak pidana. Penyidik akan memeriksa fakta-fakta objektif seperti tingkat kunjungan, interaksi dengan pelaku, serta aliran dana untuk membuktikan ketidaktahuan yang disampaikan.</w:t>
      </w:r>
    </w:p>
    <w:p w14:paraId="021B4943" w14:textId="77777777" w:rsidR="008801A4" w:rsidRDefault="008801A4" w:rsidP="008801A4">
      <w:pPr>
        <w:spacing w:line="480" w:lineRule="auto"/>
        <w:ind w:left="567" w:right="283"/>
        <w:jc w:val="both"/>
        <w:rPr>
          <w:sz w:val="24"/>
          <w:szCs w:val="24"/>
        </w:rPr>
      </w:pPr>
    </w:p>
    <w:p w14:paraId="6BD64D27" w14:textId="77777777" w:rsidR="008801A4" w:rsidRDefault="008801A4" w:rsidP="008801A4">
      <w:pPr>
        <w:spacing w:line="480" w:lineRule="auto"/>
        <w:ind w:left="567" w:right="283"/>
        <w:jc w:val="both"/>
        <w:rPr>
          <w:sz w:val="24"/>
          <w:szCs w:val="24"/>
        </w:rPr>
      </w:pPr>
    </w:p>
    <w:p w14:paraId="175ACBC1" w14:textId="77777777" w:rsidR="008801A4" w:rsidRDefault="008801A4" w:rsidP="008801A4">
      <w:pPr>
        <w:spacing w:line="480" w:lineRule="auto"/>
        <w:ind w:left="567" w:right="283"/>
        <w:jc w:val="both"/>
        <w:rPr>
          <w:sz w:val="24"/>
          <w:szCs w:val="24"/>
        </w:rPr>
      </w:pPr>
    </w:p>
    <w:p w14:paraId="11477BF7" w14:textId="77777777" w:rsidR="008801A4" w:rsidRDefault="008801A4" w:rsidP="008801A4">
      <w:pPr>
        <w:spacing w:line="480" w:lineRule="auto"/>
        <w:ind w:left="567" w:right="283"/>
        <w:jc w:val="both"/>
        <w:rPr>
          <w:sz w:val="24"/>
          <w:szCs w:val="24"/>
        </w:rPr>
      </w:pPr>
    </w:p>
    <w:p w14:paraId="7E6B65D4" w14:textId="77777777" w:rsidR="008801A4" w:rsidRPr="00C34D76" w:rsidRDefault="008801A4" w:rsidP="008801A4">
      <w:pPr>
        <w:spacing w:line="480" w:lineRule="auto"/>
        <w:ind w:left="567" w:right="283"/>
        <w:jc w:val="both"/>
        <w:rPr>
          <w:sz w:val="24"/>
          <w:szCs w:val="24"/>
        </w:rPr>
      </w:pPr>
    </w:p>
    <w:p w14:paraId="792E7192" w14:textId="77777777" w:rsidR="008801A4" w:rsidRPr="005B76C7" w:rsidRDefault="008801A4" w:rsidP="008801A4">
      <w:pPr>
        <w:pStyle w:val="Heading2"/>
        <w:spacing w:before="0" w:line="480" w:lineRule="auto"/>
        <w:ind w:right="283"/>
        <w:jc w:val="both"/>
        <w:rPr>
          <w:rFonts w:ascii="Times New Roman" w:hAnsi="Times New Roman" w:cs="Times New Roman"/>
          <w:b/>
          <w:bCs/>
          <w:color w:val="000000" w:themeColor="text1"/>
          <w:sz w:val="24"/>
          <w:szCs w:val="24"/>
          <w14:textOutline w14:w="0" w14:cap="flat" w14:cmpd="sng" w14:algn="ctr">
            <w14:noFill/>
            <w14:prstDash w14:val="solid"/>
            <w14:round/>
          </w14:textOutline>
        </w:rPr>
      </w:pPr>
      <w:bookmarkStart w:id="5" w:name="_Toc233202169"/>
      <w:bookmarkStart w:id="6" w:name="_Toc235546079"/>
      <w:r w:rsidRPr="005B76C7">
        <w:rPr>
          <w:rFonts w:ascii="Times New Roman" w:hAnsi="Times New Roman" w:cs="Times New Roman"/>
          <w:b/>
          <w:bCs/>
          <w:color w:val="000000" w:themeColor="text1"/>
          <w:sz w:val="24"/>
          <w:szCs w:val="24"/>
          <w14:textOutline w14:w="0" w14:cap="flat" w14:cmpd="sng" w14:algn="ctr">
            <w14:noFill/>
            <w14:prstDash w14:val="solid"/>
            <w14:round/>
          </w14:textOutline>
        </w:rPr>
        <w:lastRenderedPageBreak/>
        <w:t>5.2 Saran</w:t>
      </w:r>
      <w:bookmarkEnd w:id="5"/>
      <w:bookmarkEnd w:id="6"/>
    </w:p>
    <w:p w14:paraId="05C7DC1D" w14:textId="77777777" w:rsidR="008801A4" w:rsidRDefault="008801A4" w:rsidP="008801A4">
      <w:pPr>
        <w:spacing w:line="480" w:lineRule="auto"/>
        <w:ind w:left="425" w:right="284" w:firstLine="720"/>
        <w:jc w:val="both"/>
        <w:rPr>
          <w:sz w:val="24"/>
          <w:szCs w:val="24"/>
        </w:rPr>
      </w:pPr>
      <w:r w:rsidRPr="00C34D76">
        <w:rPr>
          <w:sz w:val="24"/>
          <w:szCs w:val="24"/>
        </w:rPr>
        <w:t>Aparat penegak hukum, khususnya Unit Satuan Reserse Narkoba Polres Blitar Kota, dianjurkan untuk tidak terburu-buru menetapkan seseorang sebagai tersangka penyertaan (</w:t>
      </w:r>
      <w:r w:rsidRPr="00C34D76">
        <w:rPr>
          <w:i/>
          <w:iCs/>
          <w:sz w:val="24"/>
          <w:szCs w:val="24"/>
        </w:rPr>
        <w:t>mede plegen</w:t>
      </w:r>
      <w:r w:rsidRPr="00C34D76">
        <w:rPr>
          <w:sz w:val="24"/>
          <w:szCs w:val="24"/>
        </w:rPr>
        <w:t xml:space="preserve">) hanya berdasarkan asas praduga penguasaan fisik terhadap tanah. Penyidik perlu lebih maju dan teliti dalam memulihkan fakta-fakta yang terjadi agar dapat membuktikan unsur sikap batin, baik berupa kesengajaan maupun kelalaian. Pembuktian harus didasarkan pada indikator yang dapat diukur, seperti pelacakan aliran dana untuk melihat apakah terdapat kompensasi ekonomi, pemeriksaan riwayat komunikasi digital secara forensik, serta pengujian seberapa intensif pemilik hadir di lokasi lahan. Hal ini penting agar penerapan kebijakan </w:t>
      </w:r>
      <w:r w:rsidRPr="00C34D76">
        <w:rPr>
          <w:i/>
          <w:iCs/>
          <w:sz w:val="24"/>
          <w:szCs w:val="24"/>
        </w:rPr>
        <w:t>zero tolerance</w:t>
      </w:r>
      <w:r w:rsidRPr="00C34D76">
        <w:rPr>
          <w:sz w:val="24"/>
          <w:szCs w:val="24"/>
        </w:rPr>
        <w:t xml:space="preserve"> terhadap narkotika tetap sejalan dengan prinsip legalitas dan prinsip kesalahan, sehingga mencegah terjadinya kriminalisasi yang tidak adil terhadap pemilik lahan yang sebenarnya menjadi korban dari penanaman narkotika yang dilakukan pihak lain.</w:t>
      </w:r>
    </w:p>
    <w:p w14:paraId="5F53F191" w14:textId="77777777" w:rsidR="008801A4" w:rsidRPr="00C34D76" w:rsidRDefault="008801A4" w:rsidP="008801A4">
      <w:pPr>
        <w:spacing w:line="480" w:lineRule="auto"/>
        <w:ind w:left="425" w:right="284" w:firstLine="720"/>
        <w:jc w:val="both"/>
        <w:rPr>
          <w:sz w:val="24"/>
          <w:szCs w:val="24"/>
        </w:rPr>
        <w:sectPr w:rsidR="008801A4" w:rsidRPr="00C34D76" w:rsidSect="008801A4">
          <w:headerReference w:type="default" r:id="rId9"/>
          <w:footerReference w:type="default" r:id="rId10"/>
          <w:pgSz w:w="11907" w:h="16840" w:code="9"/>
          <w:pgMar w:top="1701" w:right="1701" w:bottom="1701" w:left="2268" w:header="720" w:footer="720" w:gutter="0"/>
          <w:cols w:space="720"/>
          <w:docGrid w:linePitch="360"/>
        </w:sectPr>
      </w:pPr>
      <w:r w:rsidRPr="00C34D76">
        <w:rPr>
          <w:sz w:val="24"/>
          <w:szCs w:val="24"/>
        </w:rPr>
        <w:t>Bagi masyarakat umum, terutama para pemilik lahan di daerah pedesaan terpencil seperti Desa Krisik, Kabupaten Blitar, dianjurkan untuk lebih meningkatkan kewaspadaan dan menjalankan tanggung jawab pengawasan secara aktif terhadap aset tanah yang dimilikinya. Pemilik lahan tidak boleh bersikap lalai atau tidak aktif, terutama bila tanahnya disewakan atau dikelola oleh pihak lain, karena ketidaktepatan dalam mengawasi penggunaan lahan dapat berdampak pada tanggung jawab hukum pidana. Di sisi lain, bagi para pembentuk undang-undang, dianjurkan untuk menyusun formulasi norma yang lebih jelas dalam revisi Undang-</w:t>
      </w:r>
      <w:r w:rsidRPr="00C34D76">
        <w:rPr>
          <w:sz w:val="24"/>
          <w:szCs w:val="24"/>
        </w:rPr>
        <w:lastRenderedPageBreak/>
        <w:t>Undang Narkotika yang akan datang. Diperlukan adanya penjelasan yang jelas mengenai seberapa jauh prinsip tanggung jawab mutlak dapat diberlakukan kepada pemilik tempat kejadian perkara, serta alternatif sanksi seperti pembebanan biaya rehabilitasi korban narkotika kepada pemilik lahan yang terbukti tidak menjaga dan membiarkan tanahnya digunakan sebagai sarana produksi narkoba</w:t>
      </w:r>
      <w:r>
        <w:rPr>
          <w:sz w:val="24"/>
          <w:szCs w:val="24"/>
        </w:rPr>
        <w:t>.</w:t>
      </w:r>
    </w:p>
    <w:p w14:paraId="20C47402" w14:textId="77777777" w:rsidR="00ED3F43" w:rsidRPr="008801A4" w:rsidRDefault="00ED3F43" w:rsidP="008801A4"/>
    <w:sectPr w:rsidR="00ED3F43" w:rsidRPr="008801A4" w:rsidSect="008801A4">
      <w:headerReference w:type="default" r:id="rId11"/>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C0634" w14:textId="77777777" w:rsidR="00750EEE" w:rsidRDefault="00750EEE" w:rsidP="008801A4">
      <w:r>
        <w:separator/>
      </w:r>
    </w:p>
  </w:endnote>
  <w:endnote w:type="continuationSeparator" w:id="0">
    <w:p w14:paraId="7B7708D9" w14:textId="77777777" w:rsidR="00750EEE" w:rsidRDefault="00750EEE" w:rsidP="00880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46919"/>
      <w:docPartObj>
        <w:docPartGallery w:val="Page Numbers (Bottom of Page)"/>
        <w:docPartUnique/>
      </w:docPartObj>
    </w:sdtPr>
    <w:sdtEndPr>
      <w:rPr>
        <w:noProof/>
      </w:rPr>
    </w:sdtEndPr>
    <w:sdtContent>
      <w:p w14:paraId="4C82A46A" w14:textId="77777777" w:rsidR="008801A4" w:rsidRDefault="008801A4">
        <w:pPr>
          <w:pStyle w:val="Footer"/>
          <w:jc w:val="center"/>
        </w:pPr>
        <w:r>
          <w:fldChar w:fldCharType="begin"/>
        </w:r>
        <w:r>
          <w:instrText xml:space="preserve"> PAGE   \* MERGEFORMAT </w:instrText>
        </w:r>
        <w:r>
          <w:fldChar w:fldCharType="separate"/>
        </w:r>
        <w:r>
          <w:rPr>
            <w:noProof/>
          </w:rPr>
          <w:t>10</w:t>
        </w:r>
        <w:r>
          <w:rPr>
            <w:noProof/>
          </w:rPr>
          <w:t>0</w:t>
        </w:r>
        <w:r>
          <w:rPr>
            <w:noProof/>
          </w:rPr>
          <w:fldChar w:fldCharType="end"/>
        </w:r>
      </w:p>
    </w:sdtContent>
  </w:sdt>
  <w:p w14:paraId="4AEA49D4" w14:textId="77777777" w:rsidR="008801A4" w:rsidRDefault="008801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F689" w14:textId="77777777" w:rsidR="008801A4" w:rsidRDefault="008801A4" w:rsidP="004452E4">
    <w:pPr>
      <w:pStyle w:val="Footer"/>
      <w:jc w:val="center"/>
    </w:pPr>
  </w:p>
  <w:p w14:paraId="342CE380" w14:textId="77777777" w:rsidR="008801A4" w:rsidRDefault="00880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ADEA8" w14:textId="77777777" w:rsidR="00750EEE" w:rsidRDefault="00750EEE" w:rsidP="008801A4">
      <w:r>
        <w:separator/>
      </w:r>
    </w:p>
  </w:footnote>
  <w:footnote w:type="continuationSeparator" w:id="0">
    <w:p w14:paraId="3D336D0B" w14:textId="77777777" w:rsidR="00750EEE" w:rsidRDefault="00750EEE" w:rsidP="00880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727E3" w14:textId="77777777" w:rsidR="008801A4" w:rsidRDefault="008801A4" w:rsidP="004452E4">
    <w:pPr>
      <w:pStyle w:val="Header"/>
      <w:jc w:val="right"/>
    </w:pPr>
  </w:p>
  <w:p w14:paraId="3A71EBA2" w14:textId="77777777" w:rsidR="008801A4" w:rsidRDefault="008801A4">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925604"/>
      <w:docPartObj>
        <w:docPartGallery w:val="Page Numbers (Top of Page)"/>
        <w:docPartUnique/>
      </w:docPartObj>
    </w:sdtPr>
    <w:sdtEndPr>
      <w:rPr>
        <w:noProof/>
      </w:rPr>
    </w:sdtEndPr>
    <w:sdtContent>
      <w:p w14:paraId="5A985B44" w14:textId="77777777" w:rsidR="008801A4" w:rsidRDefault="008801A4">
        <w:pPr>
          <w:pStyle w:val="Header"/>
          <w:jc w:val="right"/>
        </w:pPr>
        <w:r>
          <w:fldChar w:fldCharType="begin"/>
        </w:r>
        <w:r>
          <w:instrText xml:space="preserve"> PAGE   \* MERGEFORMAT </w:instrText>
        </w:r>
        <w:r>
          <w:fldChar w:fldCharType="separate"/>
        </w:r>
        <w:r>
          <w:rPr>
            <w:noProof/>
          </w:rPr>
          <w:t>10</w:t>
        </w:r>
        <w:r>
          <w:rPr>
            <w:noProof/>
          </w:rPr>
          <w:t>3</w:t>
        </w:r>
        <w:r>
          <w:rPr>
            <w:noProof/>
          </w:rPr>
          <w:fldChar w:fldCharType="end"/>
        </w:r>
      </w:p>
    </w:sdtContent>
  </w:sdt>
  <w:p w14:paraId="21F213B3" w14:textId="77777777" w:rsidR="008801A4" w:rsidRDefault="008801A4">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168804"/>
      <w:docPartObj>
        <w:docPartGallery w:val="Page Numbers (Top of Page)"/>
        <w:docPartUnique/>
      </w:docPartObj>
    </w:sdtPr>
    <w:sdtEndPr>
      <w:rPr>
        <w:noProof/>
      </w:rPr>
    </w:sdtEndPr>
    <w:sdtContent>
      <w:p w14:paraId="3F9A463A" w14:textId="77777777" w:rsidR="008801A4" w:rsidRDefault="008801A4">
        <w:pPr>
          <w:pStyle w:val="Header"/>
          <w:jc w:val="right"/>
        </w:pPr>
        <w:r>
          <w:fldChar w:fldCharType="begin"/>
        </w:r>
        <w:r>
          <w:instrText xml:space="preserve"> PAGE   \* MERGEFORMAT </w:instrText>
        </w:r>
        <w:r>
          <w:fldChar w:fldCharType="separate"/>
        </w:r>
        <w:r>
          <w:rPr>
            <w:noProof/>
          </w:rPr>
          <w:t>5</w:t>
        </w:r>
        <w:r>
          <w:rPr>
            <w:noProof/>
          </w:rPr>
          <w:t>5</w:t>
        </w:r>
        <w:r>
          <w:rPr>
            <w:noProof/>
          </w:rPr>
          <w:fldChar w:fldCharType="end"/>
        </w:r>
      </w:p>
    </w:sdtContent>
  </w:sdt>
  <w:p w14:paraId="1C84E488" w14:textId="77777777" w:rsidR="008801A4" w:rsidRDefault="008801A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E4512"/>
    <w:multiLevelType w:val="hybridMultilevel"/>
    <w:tmpl w:val="41665FF8"/>
    <w:lvl w:ilvl="0" w:tplc="57FE08B8">
      <w:start w:val="1"/>
      <w:numFmt w:val="decimal"/>
      <w:lvlText w:val="%1."/>
      <w:lvlJc w:val="left"/>
      <w:pPr>
        <w:ind w:left="15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34A736C2"/>
    <w:multiLevelType w:val="hybridMultilevel"/>
    <w:tmpl w:val="C868B5A8"/>
    <w:lvl w:ilvl="0" w:tplc="57FE08B8">
      <w:start w:val="1"/>
      <w:numFmt w:val="decimal"/>
      <w:lvlText w:val="%1."/>
      <w:lvlJc w:val="left"/>
      <w:pPr>
        <w:ind w:left="185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B51904"/>
    <w:multiLevelType w:val="hybridMultilevel"/>
    <w:tmpl w:val="7C2ADC38"/>
    <w:lvl w:ilvl="0" w:tplc="FFFFFFFF">
      <w:start w:val="1"/>
      <w:numFmt w:val="decimal"/>
      <w:lvlText w:val="%1."/>
      <w:lvlJc w:val="left"/>
      <w:pPr>
        <w:ind w:left="1494" w:hanging="360"/>
      </w:pPr>
      <w:rPr>
        <w:rFonts w:hint="default"/>
      </w:rPr>
    </w:lvl>
    <w:lvl w:ilvl="1" w:tplc="0409000F">
      <w:start w:val="1"/>
      <w:numFmt w:val="decimal"/>
      <w:lvlText w:val="%2."/>
      <w:lvlJc w:val="left"/>
      <w:pPr>
        <w:ind w:left="149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93A7E4E"/>
    <w:multiLevelType w:val="hybridMultilevel"/>
    <w:tmpl w:val="A65A48EA"/>
    <w:lvl w:ilvl="0" w:tplc="57FE08B8">
      <w:start w:val="1"/>
      <w:numFmt w:val="decimal"/>
      <w:lvlText w:val="%1."/>
      <w:lvlJc w:val="left"/>
      <w:pPr>
        <w:ind w:left="185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444D97"/>
    <w:multiLevelType w:val="hybridMultilevel"/>
    <w:tmpl w:val="B0426262"/>
    <w:lvl w:ilvl="0" w:tplc="57FE08B8">
      <w:start w:val="1"/>
      <w:numFmt w:val="decimal"/>
      <w:lvlText w:val="%1."/>
      <w:lvlJc w:val="left"/>
      <w:pPr>
        <w:ind w:left="1211" w:hanging="36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5" w15:restartNumberingAfterBreak="0">
    <w:nsid w:val="61F705BC"/>
    <w:multiLevelType w:val="hybridMultilevel"/>
    <w:tmpl w:val="7DF46030"/>
    <w:lvl w:ilvl="0" w:tplc="FFFFFFFF">
      <w:start w:val="2"/>
      <w:numFmt w:val="decimal"/>
      <w:lvlText w:val="%1."/>
      <w:lvlJc w:val="left"/>
      <w:pPr>
        <w:ind w:left="851" w:hanging="296"/>
      </w:pPr>
      <w:rPr>
        <w:rFonts w:ascii="Times New Roman" w:eastAsia="Times New Roman" w:hAnsi="Times New Roman" w:cs="Times New Roman" w:hint="default"/>
        <w:b w:val="0"/>
        <w:bCs w:val="0"/>
        <w:i w:val="0"/>
        <w:iCs w:val="0"/>
        <w:spacing w:val="0"/>
        <w:w w:val="100"/>
        <w:sz w:val="24"/>
        <w:szCs w:val="24"/>
        <w:lang w:val="id" w:eastAsia="en-US" w:bidi="ar-SA"/>
      </w:rPr>
    </w:lvl>
    <w:lvl w:ilvl="1" w:tplc="57FE08B8">
      <w:start w:val="1"/>
      <w:numFmt w:val="decimal"/>
      <w:lvlText w:val="%2."/>
      <w:lvlJc w:val="left"/>
      <w:pPr>
        <w:ind w:left="1494" w:hanging="360"/>
      </w:pPr>
      <w:rPr>
        <w:rFonts w:hint="default"/>
      </w:rPr>
    </w:lvl>
    <w:lvl w:ilvl="2" w:tplc="FFFFFFFF">
      <w:numFmt w:val="bullet"/>
      <w:lvlText w:val="•"/>
      <w:lvlJc w:val="left"/>
      <w:pPr>
        <w:ind w:left="1989" w:hanging="284"/>
      </w:pPr>
      <w:rPr>
        <w:rFonts w:hint="default"/>
        <w:lang w:val="id" w:eastAsia="en-US" w:bidi="ar-SA"/>
      </w:rPr>
    </w:lvl>
    <w:lvl w:ilvl="3" w:tplc="FFFFFFFF">
      <w:numFmt w:val="bullet"/>
      <w:lvlText w:val="•"/>
      <w:lvlJc w:val="left"/>
      <w:pPr>
        <w:ind w:left="2839" w:hanging="284"/>
      </w:pPr>
      <w:rPr>
        <w:rFonts w:hint="default"/>
        <w:lang w:val="id" w:eastAsia="en-US" w:bidi="ar-SA"/>
      </w:rPr>
    </w:lvl>
    <w:lvl w:ilvl="4" w:tplc="FFFFFFFF">
      <w:numFmt w:val="bullet"/>
      <w:lvlText w:val="•"/>
      <w:lvlJc w:val="left"/>
      <w:pPr>
        <w:ind w:left="3689" w:hanging="284"/>
      </w:pPr>
      <w:rPr>
        <w:rFonts w:hint="default"/>
        <w:lang w:val="id" w:eastAsia="en-US" w:bidi="ar-SA"/>
      </w:rPr>
    </w:lvl>
    <w:lvl w:ilvl="5" w:tplc="FFFFFFFF">
      <w:numFmt w:val="bullet"/>
      <w:lvlText w:val="•"/>
      <w:lvlJc w:val="left"/>
      <w:pPr>
        <w:ind w:left="4539" w:hanging="284"/>
      </w:pPr>
      <w:rPr>
        <w:rFonts w:hint="default"/>
        <w:lang w:val="id" w:eastAsia="en-US" w:bidi="ar-SA"/>
      </w:rPr>
    </w:lvl>
    <w:lvl w:ilvl="6" w:tplc="FFFFFFFF">
      <w:numFmt w:val="bullet"/>
      <w:lvlText w:val="•"/>
      <w:lvlJc w:val="left"/>
      <w:pPr>
        <w:ind w:left="5389" w:hanging="284"/>
      </w:pPr>
      <w:rPr>
        <w:rFonts w:hint="default"/>
        <w:lang w:val="id" w:eastAsia="en-US" w:bidi="ar-SA"/>
      </w:rPr>
    </w:lvl>
    <w:lvl w:ilvl="7" w:tplc="FFFFFFFF">
      <w:numFmt w:val="bullet"/>
      <w:lvlText w:val="•"/>
      <w:lvlJc w:val="left"/>
      <w:pPr>
        <w:ind w:left="6239" w:hanging="284"/>
      </w:pPr>
      <w:rPr>
        <w:rFonts w:hint="default"/>
        <w:lang w:val="id" w:eastAsia="en-US" w:bidi="ar-SA"/>
      </w:rPr>
    </w:lvl>
    <w:lvl w:ilvl="8" w:tplc="FFFFFFFF">
      <w:numFmt w:val="bullet"/>
      <w:lvlText w:val="•"/>
      <w:lvlJc w:val="left"/>
      <w:pPr>
        <w:ind w:left="7089" w:hanging="284"/>
      </w:pPr>
      <w:rPr>
        <w:rFonts w:hint="default"/>
        <w:lang w:val="id" w:eastAsia="en-US" w:bidi="ar-SA"/>
      </w:rPr>
    </w:lvl>
  </w:abstractNum>
  <w:num w:numId="1" w16cid:durableId="1271551480">
    <w:abstractNumId w:val="5"/>
  </w:num>
  <w:num w:numId="2" w16cid:durableId="1790780597">
    <w:abstractNumId w:val="4"/>
  </w:num>
  <w:num w:numId="3" w16cid:durableId="137042024">
    <w:abstractNumId w:val="3"/>
  </w:num>
  <w:num w:numId="4" w16cid:durableId="1494491033">
    <w:abstractNumId w:val="1"/>
  </w:num>
  <w:num w:numId="5" w16cid:durableId="562835536">
    <w:abstractNumId w:val="0"/>
  </w:num>
  <w:num w:numId="6" w16cid:durableId="855579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1A4"/>
    <w:rsid w:val="00307098"/>
    <w:rsid w:val="003F4257"/>
    <w:rsid w:val="006C20DB"/>
    <w:rsid w:val="006E1000"/>
    <w:rsid w:val="00750EEE"/>
    <w:rsid w:val="008801A4"/>
    <w:rsid w:val="00894C07"/>
    <w:rsid w:val="00932739"/>
    <w:rsid w:val="00C747E9"/>
    <w:rsid w:val="00ED3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A5561"/>
  <w15:chartTrackingRefBased/>
  <w15:docId w15:val="{FFB32893-507B-4119-B685-B87DB5F75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1A4"/>
    <w:pPr>
      <w:widowControl w:val="0"/>
      <w:autoSpaceDE w:val="0"/>
      <w:autoSpaceDN w:val="0"/>
      <w:spacing w:after="0" w:line="240" w:lineRule="auto"/>
    </w:pPr>
    <w:rPr>
      <w:rFonts w:ascii="Times New Roman" w:eastAsia="Times New Roman" w:hAnsi="Times New Roman" w:cs="Times New Roman"/>
      <w:kern w:val="0"/>
      <w:sz w:val="22"/>
      <w:szCs w:val="22"/>
      <w:lang w:val="id"/>
      <w14:ligatures w14:val="none"/>
    </w:rPr>
  </w:style>
  <w:style w:type="paragraph" w:styleId="Heading1">
    <w:name w:val="heading 1"/>
    <w:basedOn w:val="Normal"/>
    <w:next w:val="Normal"/>
    <w:link w:val="Heading1Char"/>
    <w:uiPriority w:val="9"/>
    <w:qFormat/>
    <w:rsid w:val="008801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801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801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01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8801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01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1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1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1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1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801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801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01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8801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0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1A4"/>
    <w:rPr>
      <w:rFonts w:eastAsiaTheme="majorEastAsia" w:cstheme="majorBidi"/>
      <w:color w:val="272727" w:themeColor="text1" w:themeTint="D8"/>
    </w:rPr>
  </w:style>
  <w:style w:type="paragraph" w:styleId="Title">
    <w:name w:val="Title"/>
    <w:basedOn w:val="Normal"/>
    <w:next w:val="Normal"/>
    <w:link w:val="TitleChar"/>
    <w:uiPriority w:val="10"/>
    <w:qFormat/>
    <w:rsid w:val="008801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1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1A4"/>
    <w:pPr>
      <w:spacing w:before="160"/>
      <w:jc w:val="center"/>
    </w:pPr>
    <w:rPr>
      <w:i/>
      <w:iCs/>
      <w:color w:val="404040" w:themeColor="text1" w:themeTint="BF"/>
    </w:rPr>
  </w:style>
  <w:style w:type="character" w:customStyle="1" w:styleId="QuoteChar">
    <w:name w:val="Quote Char"/>
    <w:basedOn w:val="DefaultParagraphFont"/>
    <w:link w:val="Quote"/>
    <w:uiPriority w:val="29"/>
    <w:rsid w:val="008801A4"/>
    <w:rPr>
      <w:i/>
      <w:iCs/>
      <w:color w:val="404040" w:themeColor="text1" w:themeTint="BF"/>
    </w:rPr>
  </w:style>
  <w:style w:type="paragraph" w:styleId="ListParagraph">
    <w:name w:val="List Paragraph"/>
    <w:basedOn w:val="Normal"/>
    <w:uiPriority w:val="34"/>
    <w:qFormat/>
    <w:rsid w:val="008801A4"/>
    <w:pPr>
      <w:ind w:left="720"/>
      <w:contextualSpacing/>
    </w:pPr>
  </w:style>
  <w:style w:type="character" w:styleId="IntenseEmphasis">
    <w:name w:val="Intense Emphasis"/>
    <w:basedOn w:val="DefaultParagraphFont"/>
    <w:uiPriority w:val="21"/>
    <w:qFormat/>
    <w:rsid w:val="008801A4"/>
    <w:rPr>
      <w:i/>
      <w:iCs/>
      <w:color w:val="2F5496" w:themeColor="accent1" w:themeShade="BF"/>
    </w:rPr>
  </w:style>
  <w:style w:type="paragraph" w:styleId="IntenseQuote">
    <w:name w:val="Intense Quote"/>
    <w:basedOn w:val="Normal"/>
    <w:next w:val="Normal"/>
    <w:link w:val="IntenseQuoteChar"/>
    <w:uiPriority w:val="30"/>
    <w:qFormat/>
    <w:rsid w:val="008801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01A4"/>
    <w:rPr>
      <w:i/>
      <w:iCs/>
      <w:color w:val="2F5496" w:themeColor="accent1" w:themeShade="BF"/>
    </w:rPr>
  </w:style>
  <w:style w:type="character" w:styleId="IntenseReference">
    <w:name w:val="Intense Reference"/>
    <w:basedOn w:val="DefaultParagraphFont"/>
    <w:uiPriority w:val="32"/>
    <w:qFormat/>
    <w:rsid w:val="008801A4"/>
    <w:rPr>
      <w:b/>
      <w:bCs/>
      <w:smallCaps/>
      <w:color w:val="2F5496" w:themeColor="accent1" w:themeShade="BF"/>
      <w:spacing w:val="5"/>
    </w:rPr>
  </w:style>
  <w:style w:type="paragraph" w:styleId="BodyText">
    <w:name w:val="Body Text"/>
    <w:basedOn w:val="Normal"/>
    <w:link w:val="BodyTextChar"/>
    <w:uiPriority w:val="1"/>
    <w:qFormat/>
    <w:rsid w:val="008801A4"/>
    <w:rPr>
      <w:sz w:val="24"/>
      <w:szCs w:val="24"/>
    </w:rPr>
  </w:style>
  <w:style w:type="character" w:customStyle="1" w:styleId="BodyTextChar">
    <w:name w:val="Body Text Char"/>
    <w:basedOn w:val="DefaultParagraphFont"/>
    <w:link w:val="BodyText"/>
    <w:uiPriority w:val="1"/>
    <w:rsid w:val="008801A4"/>
    <w:rPr>
      <w:rFonts w:ascii="Times New Roman" w:eastAsia="Times New Roman" w:hAnsi="Times New Roman" w:cs="Times New Roman"/>
      <w:kern w:val="0"/>
      <w:lang w:val="id"/>
      <w14:ligatures w14:val="none"/>
    </w:rPr>
  </w:style>
  <w:style w:type="paragraph" w:styleId="Header">
    <w:name w:val="header"/>
    <w:basedOn w:val="Normal"/>
    <w:link w:val="HeaderChar"/>
    <w:uiPriority w:val="99"/>
    <w:unhideWhenUsed/>
    <w:rsid w:val="008801A4"/>
    <w:pPr>
      <w:tabs>
        <w:tab w:val="center" w:pos="4680"/>
        <w:tab w:val="right" w:pos="9360"/>
      </w:tabs>
    </w:pPr>
  </w:style>
  <w:style w:type="character" w:customStyle="1" w:styleId="HeaderChar">
    <w:name w:val="Header Char"/>
    <w:basedOn w:val="DefaultParagraphFont"/>
    <w:link w:val="Header"/>
    <w:uiPriority w:val="99"/>
    <w:rsid w:val="008801A4"/>
    <w:rPr>
      <w:rFonts w:ascii="Times New Roman" w:eastAsia="Times New Roman" w:hAnsi="Times New Roman" w:cs="Times New Roman"/>
      <w:kern w:val="0"/>
      <w:sz w:val="22"/>
      <w:szCs w:val="22"/>
      <w:lang w:val="id"/>
      <w14:ligatures w14:val="none"/>
    </w:rPr>
  </w:style>
  <w:style w:type="paragraph" w:styleId="FootnoteText">
    <w:name w:val="footnote text"/>
    <w:basedOn w:val="Normal"/>
    <w:link w:val="FootnoteTextChar"/>
    <w:uiPriority w:val="99"/>
    <w:semiHidden/>
    <w:unhideWhenUsed/>
    <w:rsid w:val="008801A4"/>
    <w:pPr>
      <w:widowControl/>
      <w:autoSpaceDE/>
      <w:autoSpaceDN/>
    </w:pPr>
    <w:rPr>
      <w:rFonts w:asciiTheme="minorHAnsi" w:eastAsiaTheme="minorHAnsi" w:hAnsi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8801A4"/>
    <w:rPr>
      <w:sz w:val="20"/>
      <w:szCs w:val="20"/>
    </w:rPr>
  </w:style>
  <w:style w:type="character" w:styleId="FootnoteReference">
    <w:name w:val="footnote reference"/>
    <w:basedOn w:val="DefaultParagraphFont"/>
    <w:uiPriority w:val="99"/>
    <w:semiHidden/>
    <w:unhideWhenUsed/>
    <w:rsid w:val="008801A4"/>
    <w:rPr>
      <w:vertAlign w:val="superscript"/>
    </w:rPr>
  </w:style>
  <w:style w:type="table" w:styleId="TableGrid">
    <w:name w:val="Table Grid"/>
    <w:basedOn w:val="TableNormal"/>
    <w:uiPriority w:val="39"/>
    <w:rsid w:val="008801A4"/>
    <w:pPr>
      <w:widowControl w:val="0"/>
      <w:autoSpaceDE w:val="0"/>
      <w:autoSpaceDN w:val="0"/>
      <w:spacing w:after="0" w:line="240" w:lineRule="auto"/>
    </w:pPr>
    <w:rPr>
      <w:rFonts w:eastAsia="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01A4"/>
    <w:rPr>
      <w:color w:val="0563C1" w:themeColor="hyperlink"/>
      <w:u w:val="single"/>
    </w:rPr>
  </w:style>
  <w:style w:type="paragraph" w:styleId="Footer">
    <w:name w:val="footer"/>
    <w:basedOn w:val="Normal"/>
    <w:link w:val="FooterChar"/>
    <w:uiPriority w:val="99"/>
    <w:unhideWhenUsed/>
    <w:rsid w:val="008801A4"/>
    <w:pPr>
      <w:tabs>
        <w:tab w:val="center" w:pos="4680"/>
        <w:tab w:val="right" w:pos="9360"/>
      </w:tabs>
    </w:pPr>
  </w:style>
  <w:style w:type="character" w:customStyle="1" w:styleId="FooterChar">
    <w:name w:val="Footer Char"/>
    <w:basedOn w:val="DefaultParagraphFont"/>
    <w:link w:val="Footer"/>
    <w:uiPriority w:val="99"/>
    <w:rsid w:val="008801A4"/>
    <w:rPr>
      <w:rFonts w:ascii="Times New Roman" w:eastAsia="Times New Roman" w:hAnsi="Times New Roman" w:cs="Times New Roman"/>
      <w:kern w:val="0"/>
      <w:sz w:val="22"/>
      <w:szCs w:val="22"/>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678</Words>
  <Characters>3868</Characters>
  <Application>Microsoft Office Word</Application>
  <DocSecurity>0</DocSecurity>
  <Lines>32</Lines>
  <Paragraphs>9</Paragraphs>
  <ScaleCrop>false</ScaleCrop>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berlian aprilia</dc:creator>
  <cp:keywords/>
  <dc:description/>
  <cp:lastModifiedBy>berlian aprilia</cp:lastModifiedBy>
  <cp:revision>1</cp:revision>
  <dcterms:created xsi:type="dcterms:W3CDTF">2026-08-12T02:49:00Z</dcterms:created>
  <dcterms:modified xsi:type="dcterms:W3CDTF">2026-08-12T02:51:00Z</dcterms:modified>
</cp:coreProperties>
</file>