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382B" w14:textId="73843114" w:rsidR="00757C97" w:rsidRDefault="00757C97" w:rsidP="00E82177">
      <w:pPr>
        <w:pStyle w:val="Heading2"/>
        <w:spacing w:before="57" w:line="276" w:lineRule="auto"/>
        <w:ind w:left="0" w:right="3"/>
        <w:jc w:val="center"/>
        <w:rPr>
          <w:rFonts w:ascii="Book Antiqua" w:hAnsi="Book Antiqua"/>
          <w:spacing w:val="35"/>
          <w:lang w:val="en-US"/>
        </w:rPr>
      </w:pPr>
      <w:r w:rsidRPr="00757C97">
        <w:rPr>
          <w:rFonts w:ascii="Book Antiqua" w:hAnsi="Book Antiqua"/>
          <w:spacing w:val="35"/>
          <w:lang w:val="en-US"/>
        </w:rPr>
        <w:t>Pertanggungjawaban Pidana Pemilik Lahan Dalam Kasus Penemuan Ladang Ganja Di Desa Krisik</w:t>
      </w:r>
    </w:p>
    <w:p w14:paraId="072C4BDA" w14:textId="77777777" w:rsidR="00847EF2" w:rsidRDefault="00757C97" w:rsidP="00E82177">
      <w:pPr>
        <w:pStyle w:val="Heading2"/>
        <w:spacing w:before="57" w:line="276" w:lineRule="auto"/>
        <w:ind w:right="564"/>
        <w:jc w:val="center"/>
        <w:rPr>
          <w:rFonts w:ascii="Book Antiqua" w:hAnsi="Book Antiqua"/>
          <w:bCs w:val="0"/>
          <w:i/>
          <w:iCs/>
          <w:lang w:val="en-US"/>
        </w:rPr>
      </w:pPr>
      <w:r w:rsidRPr="00757C97">
        <w:rPr>
          <w:rFonts w:ascii="Book Antiqua" w:hAnsi="Book Antiqua"/>
          <w:bCs w:val="0"/>
          <w:i/>
          <w:iCs/>
          <w:lang w:val="en-US"/>
        </w:rPr>
        <w:t>Criminal Liability of Landowners in the Case of the Discovery of a Marijuana Field in Krisik Village</w:t>
      </w:r>
    </w:p>
    <w:p w14:paraId="019BD713" w14:textId="6BD91082" w:rsidR="00847EF2" w:rsidRDefault="00757C97" w:rsidP="00E82177">
      <w:pPr>
        <w:pStyle w:val="Heading2"/>
        <w:spacing w:before="57"/>
        <w:ind w:right="564"/>
        <w:jc w:val="center"/>
        <w:rPr>
          <w:rFonts w:ascii="Book Antiqua" w:hAnsi="Book Antiqua"/>
          <w:b w:val="0"/>
          <w:bCs w:val="0"/>
          <w:w w:val="105"/>
          <w:sz w:val="20"/>
        </w:rPr>
      </w:pPr>
      <w:r w:rsidRPr="00847EF2">
        <w:rPr>
          <w:rFonts w:ascii="Book Antiqua" w:hAnsi="Book Antiqua"/>
          <w:w w:val="105"/>
          <w:sz w:val="20"/>
        </w:rPr>
        <w:t>Berlian Aprillia Susanto</w:t>
      </w:r>
      <w:r w:rsidRPr="00757C97">
        <w:rPr>
          <w:rFonts w:ascii="Book Antiqua" w:hAnsi="Book Antiqua"/>
          <w:w w:val="105"/>
          <w:sz w:val="20"/>
        </w:rPr>
        <w:t xml:space="preserve">, </w:t>
      </w:r>
      <w:r w:rsidRPr="00847EF2">
        <w:rPr>
          <w:rFonts w:ascii="Book Antiqua" w:hAnsi="Book Antiqua"/>
          <w:b w:val="0"/>
          <w:bCs w:val="0"/>
          <w:w w:val="105"/>
          <w:sz w:val="20"/>
        </w:rPr>
        <w:t>Fakultas Hukum, Universitas Islam Balitar Blitar, Jalan Majapahit No. 4, Kota Blitar, Jawa Timur,</w:t>
      </w:r>
    </w:p>
    <w:p w14:paraId="195FF16C" w14:textId="02437BBE" w:rsidR="00757C97" w:rsidRPr="00847EF2" w:rsidRDefault="00757C97" w:rsidP="00E82177">
      <w:pPr>
        <w:pStyle w:val="Heading2"/>
        <w:spacing w:before="57"/>
        <w:ind w:right="564"/>
        <w:jc w:val="center"/>
        <w:rPr>
          <w:rFonts w:ascii="Book Antiqua" w:hAnsi="Book Antiqua"/>
          <w:b w:val="0"/>
          <w:bCs w:val="0"/>
          <w:i/>
          <w:iCs/>
          <w:lang w:val="en-US"/>
        </w:rPr>
      </w:pPr>
      <w:r w:rsidRPr="00847EF2">
        <w:rPr>
          <w:rFonts w:ascii="Book Antiqua" w:hAnsi="Book Antiqua"/>
          <w:b w:val="0"/>
          <w:bCs w:val="0"/>
          <w:w w:val="105"/>
          <w:sz w:val="20"/>
          <w:lang w:val="en-US"/>
        </w:rPr>
        <w:t>E</w:t>
      </w:r>
      <w:r w:rsidR="002B7543">
        <w:rPr>
          <w:rFonts w:ascii="Book Antiqua" w:hAnsi="Book Antiqua"/>
          <w:b w:val="0"/>
          <w:bCs w:val="0"/>
          <w:w w:val="105"/>
          <w:sz w:val="20"/>
          <w:lang w:val="en-US"/>
        </w:rPr>
        <w:t>-</w:t>
      </w:r>
      <w:r w:rsidRPr="00847EF2">
        <w:rPr>
          <w:rFonts w:ascii="Book Antiqua" w:hAnsi="Book Antiqua"/>
          <w:b w:val="0"/>
          <w:bCs w:val="0"/>
          <w:w w:val="105"/>
          <w:sz w:val="20"/>
        </w:rPr>
        <w:t>mail: aprilia22311@gmail.com</w:t>
      </w:r>
    </w:p>
    <w:p w14:paraId="5E8447C5" w14:textId="77777777" w:rsidR="00CF3ACF" w:rsidRDefault="00CF3ACF" w:rsidP="00847EF2">
      <w:pPr>
        <w:pStyle w:val="BodyText"/>
        <w:spacing w:before="118"/>
        <w:ind w:left="0"/>
        <w:jc w:val="center"/>
        <w:rPr>
          <w:sz w:val="20"/>
        </w:rPr>
      </w:pPr>
    </w:p>
    <w:p w14:paraId="13C22EFB" w14:textId="77777777" w:rsidR="00CF3ACF" w:rsidRDefault="004A52CB" w:rsidP="00E82177">
      <w:pPr>
        <w:spacing w:line="267" w:lineRule="exact"/>
        <w:ind w:right="436"/>
        <w:jc w:val="center"/>
        <w:rPr>
          <w:rFonts w:ascii="Palatino Linotype"/>
          <w:b/>
          <w:sz w:val="20"/>
        </w:rPr>
      </w:pPr>
      <w:r>
        <w:rPr>
          <w:rFonts w:ascii="Palatino Linotype"/>
          <w:b/>
          <w:color w:val="202020"/>
          <w:spacing w:val="-2"/>
          <w:sz w:val="20"/>
        </w:rPr>
        <w:t>Abstrak</w:t>
      </w:r>
    </w:p>
    <w:p w14:paraId="1B910191" w14:textId="44CB60F6" w:rsidR="00CF3ACF" w:rsidRPr="00847EF2" w:rsidRDefault="00847EF2" w:rsidP="00E82177">
      <w:pPr>
        <w:ind w:right="11" w:firstLine="425"/>
        <w:jc w:val="both"/>
        <w:rPr>
          <w:rFonts w:ascii="Book Antiqua" w:hAnsi="Book Antiqua"/>
          <w:sz w:val="20"/>
        </w:rPr>
      </w:pPr>
      <w:r w:rsidRPr="00847EF2">
        <w:rPr>
          <w:rFonts w:ascii="Book Antiqua" w:hAnsi="Book Antiqua"/>
          <w:w w:val="105"/>
          <w:sz w:val="20"/>
        </w:rPr>
        <w:t xml:space="preserve">Penelitian ini dilatarbelakangi oleh pengungkapan ladang ganja di lahan perkebunan warga Desa Krisik, Kecamatan Gandusari, Kabupaten Blitar oleh Satuan </w:t>
      </w:r>
      <w:r w:rsidRPr="00B875E0">
        <w:rPr>
          <w:rFonts w:ascii="Book Antiqua" w:hAnsi="Book Antiqua"/>
          <w:w w:val="105"/>
          <w:sz w:val="20"/>
        </w:rPr>
        <w:t>Reserse</w:t>
      </w:r>
      <w:r w:rsidRPr="00847EF2">
        <w:rPr>
          <w:rFonts w:ascii="Book Antiqua" w:hAnsi="Book Antiqua"/>
          <w:w w:val="105"/>
          <w:sz w:val="20"/>
        </w:rPr>
        <w:t xml:space="preserve"> Narkoba Polres Blitar Kota pada September 2025. Penelitian bertujuan mengkaji apakah pemilik lahan dapat dipersalahkan jika mengaku tidak tahu aktivitas penanaman ganja di lahannya, serta apakah kelalaian pemilik lahan dalam mengawasi lahannya dapat digolongkan sebagai turut serta atau membantu tindak pidana narkotika. Metode yang dipakai adalah penelitian hukum empiris dengan pendekatan kualitatif melalui wawancara dan studi dokumen. Hasil penelitian menunjukkan pengakuan tidak mengetahui tidak otomatis menghapus tanggung jawab hukum, mengingat pemilik punya kewajiban mengawasi lahannya. Kelalaian pemilik lahan tidak otomatis masuk kategori penyertaan karena unsur kerja sama sadar tidak terpenuhi, namun bisa dikualifikasikan sebagai pembantuan apabila terbukti ada unsur kesengajaan memberi kesempatan. Penelitian merekomendasikan penegak hukum mendasarkan pembuktian pada indikator terukur, bukan sekadar penguasaan fisik atas tanah, demi menjaga keseimbangan antara </w:t>
      </w:r>
      <w:r w:rsidRPr="00FC7FD4">
        <w:rPr>
          <w:rFonts w:ascii="Book Antiqua" w:hAnsi="Book Antiqua"/>
          <w:i/>
          <w:iCs/>
          <w:w w:val="105"/>
          <w:sz w:val="20"/>
        </w:rPr>
        <w:t>strict liability</w:t>
      </w:r>
      <w:r w:rsidRPr="00847EF2">
        <w:rPr>
          <w:rFonts w:ascii="Book Antiqua" w:hAnsi="Book Antiqua"/>
          <w:w w:val="105"/>
          <w:sz w:val="20"/>
        </w:rPr>
        <w:t xml:space="preserve"> dalam hukum narkotika dan asas </w:t>
      </w:r>
      <w:r w:rsidRPr="00847EF2">
        <w:rPr>
          <w:rFonts w:ascii="Book Antiqua" w:hAnsi="Book Antiqua"/>
          <w:i/>
          <w:iCs/>
          <w:w w:val="105"/>
          <w:sz w:val="20"/>
        </w:rPr>
        <w:t>geen straf zonder schuld</w:t>
      </w:r>
      <w:r w:rsidRPr="00847EF2">
        <w:rPr>
          <w:rFonts w:ascii="Book Antiqua" w:hAnsi="Book Antiqua"/>
          <w:w w:val="105"/>
          <w:sz w:val="20"/>
        </w:rPr>
        <w:t>.</w:t>
      </w:r>
    </w:p>
    <w:p w14:paraId="24F5DBDD" w14:textId="7FBF124F" w:rsidR="00CF3ACF" w:rsidRPr="00B54BAA" w:rsidRDefault="004A52CB">
      <w:pPr>
        <w:spacing w:before="225"/>
        <w:ind w:left="140"/>
        <w:jc w:val="both"/>
        <w:rPr>
          <w:rFonts w:ascii="Book Antiqua" w:hAnsi="Book Antiqua"/>
          <w:sz w:val="20"/>
        </w:rPr>
      </w:pPr>
      <w:r>
        <w:rPr>
          <w:rFonts w:ascii="Palatino Linotype"/>
          <w:b/>
          <w:color w:val="202020"/>
          <w:sz w:val="20"/>
        </w:rPr>
        <w:t>Kata</w:t>
      </w:r>
      <w:r>
        <w:rPr>
          <w:rFonts w:ascii="Palatino Linotype"/>
          <w:b/>
          <w:color w:val="202020"/>
          <w:spacing w:val="13"/>
          <w:sz w:val="20"/>
        </w:rPr>
        <w:t xml:space="preserve"> </w:t>
      </w:r>
      <w:r>
        <w:rPr>
          <w:rFonts w:ascii="Palatino Linotype"/>
          <w:b/>
          <w:color w:val="202020"/>
          <w:sz w:val="20"/>
        </w:rPr>
        <w:t>Kunci</w:t>
      </w:r>
      <w:r>
        <w:rPr>
          <w:color w:val="202020"/>
          <w:sz w:val="20"/>
        </w:rPr>
        <w:t>:</w:t>
      </w:r>
      <w:r>
        <w:rPr>
          <w:color w:val="202020"/>
          <w:spacing w:val="24"/>
          <w:sz w:val="20"/>
        </w:rPr>
        <w:t xml:space="preserve"> </w:t>
      </w:r>
      <w:r w:rsidR="00B54BAA" w:rsidRPr="00B54BAA">
        <w:rPr>
          <w:rFonts w:ascii="Book Antiqua" w:hAnsi="Book Antiqua"/>
          <w:color w:val="202020"/>
          <w:sz w:val="20"/>
          <w:lang w:val="en-US"/>
        </w:rPr>
        <w:t>Pertanggungjawaban Pidana</w:t>
      </w:r>
      <w:r w:rsidRPr="00B54BAA">
        <w:rPr>
          <w:rFonts w:ascii="Book Antiqua" w:hAnsi="Book Antiqua"/>
          <w:color w:val="202020"/>
          <w:sz w:val="20"/>
        </w:rPr>
        <w:t>,</w:t>
      </w:r>
      <w:r w:rsidRPr="00B54BAA">
        <w:rPr>
          <w:rFonts w:ascii="Book Antiqua" w:hAnsi="Book Antiqua"/>
          <w:color w:val="202020"/>
          <w:spacing w:val="19"/>
          <w:sz w:val="20"/>
        </w:rPr>
        <w:t xml:space="preserve"> </w:t>
      </w:r>
      <w:r w:rsidR="00B54BAA" w:rsidRPr="00B54BAA">
        <w:rPr>
          <w:rFonts w:ascii="Book Antiqua" w:hAnsi="Book Antiqua"/>
          <w:color w:val="202020"/>
          <w:sz w:val="20"/>
          <w:lang w:val="en-US"/>
        </w:rPr>
        <w:t>Ladang Ganja</w:t>
      </w:r>
      <w:r w:rsidRPr="00B54BAA">
        <w:rPr>
          <w:rFonts w:ascii="Book Antiqua" w:hAnsi="Book Antiqua"/>
          <w:color w:val="202020"/>
          <w:sz w:val="20"/>
        </w:rPr>
        <w:t>,</w:t>
      </w:r>
      <w:r w:rsidRPr="00B54BAA">
        <w:rPr>
          <w:rFonts w:ascii="Book Antiqua" w:hAnsi="Book Antiqua"/>
          <w:color w:val="202020"/>
          <w:spacing w:val="24"/>
          <w:sz w:val="20"/>
        </w:rPr>
        <w:t xml:space="preserve"> </w:t>
      </w:r>
      <w:r w:rsidR="00AE62B2">
        <w:rPr>
          <w:rFonts w:ascii="Book Antiqua" w:hAnsi="Book Antiqua"/>
          <w:color w:val="202020"/>
          <w:sz w:val="20"/>
          <w:lang w:val="en-US"/>
        </w:rPr>
        <w:t>Pemilik Lahan</w:t>
      </w:r>
      <w:r w:rsidRPr="00B54BAA">
        <w:rPr>
          <w:rFonts w:ascii="Book Antiqua" w:hAnsi="Book Antiqua"/>
          <w:color w:val="202020"/>
          <w:spacing w:val="-5"/>
          <w:sz w:val="20"/>
        </w:rPr>
        <w:t>.</w:t>
      </w:r>
    </w:p>
    <w:p w14:paraId="07006C01" w14:textId="77777777" w:rsidR="00CF3ACF" w:rsidRDefault="004A52CB">
      <w:pPr>
        <w:spacing w:before="215" w:line="253" w:lineRule="exact"/>
        <w:ind w:left="555"/>
        <w:jc w:val="center"/>
        <w:rPr>
          <w:rFonts w:ascii="Palatino Linotype"/>
          <w:b/>
          <w:i/>
          <w:sz w:val="20"/>
        </w:rPr>
      </w:pPr>
      <w:r>
        <w:rPr>
          <w:rFonts w:ascii="Palatino Linotype"/>
          <w:b/>
          <w:i/>
          <w:color w:val="202020"/>
          <w:spacing w:val="-2"/>
          <w:sz w:val="20"/>
        </w:rPr>
        <w:t>Abstract</w:t>
      </w:r>
    </w:p>
    <w:p w14:paraId="363C171D" w14:textId="64870B26" w:rsidR="00CF3ACF" w:rsidRPr="00BA2DC0" w:rsidRDefault="00847EF2" w:rsidP="00847EF2">
      <w:pPr>
        <w:spacing w:before="4"/>
        <w:ind w:left="142" w:right="11" w:firstLine="425"/>
        <w:jc w:val="both"/>
        <w:rPr>
          <w:rFonts w:ascii="Book Antiqua" w:hAnsi="Book Antiqua"/>
          <w:i/>
          <w:sz w:val="20"/>
          <w:lang w:val="en-US"/>
        </w:rPr>
      </w:pPr>
      <w:r w:rsidRPr="00BA2DC0">
        <w:rPr>
          <w:rFonts w:ascii="Book Antiqua" w:hAnsi="Book Antiqua"/>
          <w:i/>
          <w:sz w:val="20"/>
          <w:lang w:val="en-US"/>
        </w:rPr>
        <w:t>This study was prompted by the discovery of a marijuana field on farmland owned by residents of Krisik Village, Gandusari Subdistrict, Blitar Regency, by the Blitar City Police Narcotics Investigation Unit in September 2025. The study aims to examine whether landowners can be held liable if they claim to be unaware of marijuana cultivation on their land, and whether the landowners’ negligence in monitoring their land can be classified as participation in or aiding a narcotics-related criminal offense. The method used was empirical legal research with a qualitative approach through interviews and document analysis. The results indicate that a claim of ignorance does not automatically absolve legal liability, given that landowners have a duty to monitor their land. A landowner’s negligence does not automatically constitute complicity because the element of conscious cooperation is not met; however, it can be classified as aiding and abetting if it is proven that there was an element of intentional facilitation. The study recommends that law enforcement officials base their evidence on measurable indicators—rather than merely physical control over the land—to maintain a balance between strict liability in narcotics law and the principle of “no punishment without guilt.”</w:t>
      </w:r>
      <w:r w:rsidR="004A52CB" w:rsidRPr="00BA2DC0">
        <w:rPr>
          <w:rFonts w:ascii="Book Antiqua" w:hAnsi="Book Antiqua"/>
          <w:i/>
          <w:color w:val="202020"/>
          <w:sz w:val="20"/>
        </w:rPr>
        <w:t>.</w:t>
      </w:r>
      <w:r w:rsidRPr="00BA2DC0">
        <w:rPr>
          <w:rFonts w:ascii="Book Antiqua" w:hAnsi="Book Antiqua"/>
          <w:i/>
          <w:color w:val="202020"/>
          <w:sz w:val="20"/>
          <w:lang w:val="en-US"/>
        </w:rPr>
        <w:t xml:space="preserve"> </w:t>
      </w:r>
    </w:p>
    <w:p w14:paraId="1DE8F608" w14:textId="0D3340A4" w:rsidR="002B7543" w:rsidRPr="002B7543" w:rsidRDefault="004A52CB" w:rsidP="002B7543">
      <w:pPr>
        <w:spacing w:before="212"/>
        <w:ind w:left="140"/>
        <w:jc w:val="both"/>
        <w:rPr>
          <w:rFonts w:ascii="Book Antiqua" w:hAnsi="Book Antiqua"/>
          <w:i/>
          <w:color w:val="202020"/>
          <w:spacing w:val="-8"/>
          <w:sz w:val="20"/>
        </w:rPr>
      </w:pPr>
      <w:r>
        <w:rPr>
          <w:rFonts w:ascii="Palatino Linotype"/>
          <w:b/>
          <w:i/>
          <w:color w:val="202020"/>
          <w:sz w:val="20"/>
        </w:rPr>
        <w:t>Keywords</w:t>
      </w:r>
      <w:r>
        <w:rPr>
          <w:rFonts w:ascii="Palatino Linotype"/>
          <w:i/>
          <w:color w:val="202020"/>
          <w:sz w:val="20"/>
        </w:rPr>
        <w:t>:</w:t>
      </w:r>
      <w:r>
        <w:rPr>
          <w:rFonts w:ascii="Palatino Linotype"/>
          <w:i/>
          <w:color w:val="202020"/>
          <w:spacing w:val="-8"/>
          <w:sz w:val="20"/>
        </w:rPr>
        <w:t xml:space="preserve"> </w:t>
      </w:r>
      <w:r w:rsidR="005603BD" w:rsidRPr="005603BD">
        <w:rPr>
          <w:rFonts w:ascii="Book Antiqua" w:hAnsi="Book Antiqua"/>
          <w:i/>
          <w:color w:val="202020"/>
          <w:spacing w:val="-8"/>
          <w:sz w:val="20"/>
        </w:rPr>
        <w:t>Criminal Liability</w:t>
      </w:r>
      <w:r w:rsidRPr="005603BD">
        <w:rPr>
          <w:rFonts w:ascii="Book Antiqua" w:hAnsi="Book Antiqua"/>
          <w:i/>
          <w:color w:val="202020"/>
          <w:sz w:val="20"/>
        </w:rPr>
        <w:t>,</w:t>
      </w:r>
      <w:r w:rsidRPr="005603BD">
        <w:rPr>
          <w:rFonts w:ascii="Book Antiqua" w:hAnsi="Book Antiqua"/>
          <w:i/>
          <w:color w:val="202020"/>
          <w:spacing w:val="-4"/>
          <w:sz w:val="20"/>
        </w:rPr>
        <w:t xml:space="preserve"> </w:t>
      </w:r>
      <w:r w:rsidR="005603BD" w:rsidRPr="005603BD">
        <w:rPr>
          <w:rFonts w:ascii="Book Antiqua" w:hAnsi="Book Antiqua"/>
          <w:i/>
          <w:color w:val="202020"/>
          <w:spacing w:val="-4"/>
          <w:sz w:val="20"/>
        </w:rPr>
        <w:t>Marijuana Fields</w:t>
      </w:r>
      <w:r w:rsidRPr="005603BD">
        <w:rPr>
          <w:rFonts w:ascii="Book Antiqua" w:hAnsi="Book Antiqua"/>
          <w:i/>
          <w:color w:val="202020"/>
          <w:sz w:val="20"/>
        </w:rPr>
        <w:t>,</w:t>
      </w:r>
      <w:r w:rsidRPr="005603BD">
        <w:rPr>
          <w:rFonts w:ascii="Book Antiqua" w:hAnsi="Book Antiqua"/>
          <w:i/>
          <w:color w:val="202020"/>
          <w:spacing w:val="-8"/>
          <w:sz w:val="20"/>
        </w:rPr>
        <w:t xml:space="preserve"> </w:t>
      </w:r>
      <w:r w:rsidR="00B74E6B" w:rsidRPr="00B74E6B">
        <w:rPr>
          <w:rFonts w:ascii="Book Antiqua" w:hAnsi="Book Antiqua"/>
          <w:i/>
          <w:color w:val="202020"/>
          <w:spacing w:val="-8"/>
          <w:sz w:val="20"/>
        </w:rPr>
        <w:t>Landowner</w:t>
      </w:r>
    </w:p>
    <w:p w14:paraId="183775D4" w14:textId="47017C5E" w:rsidR="00CF3ACF" w:rsidRDefault="00CF3ACF">
      <w:pPr>
        <w:pStyle w:val="BodyText"/>
        <w:spacing w:before="218"/>
        <w:ind w:left="0"/>
        <w:rPr>
          <w:rFonts w:ascii="Palatino Linotype"/>
          <w:i/>
          <w:sz w:val="20"/>
        </w:rPr>
      </w:pPr>
    </w:p>
    <w:p w14:paraId="1F0CECDB" w14:textId="4DE744B5" w:rsidR="009A4CEE" w:rsidRDefault="009A4CEE">
      <w:pPr>
        <w:pStyle w:val="BodyText"/>
        <w:spacing w:before="218"/>
        <w:ind w:left="0"/>
        <w:rPr>
          <w:rFonts w:ascii="Palatino Linotype"/>
          <w:i/>
          <w:sz w:val="20"/>
        </w:rPr>
      </w:pPr>
    </w:p>
    <w:p w14:paraId="3C43A19B" w14:textId="099B8696" w:rsidR="009A4CEE" w:rsidRDefault="009A4CEE">
      <w:pPr>
        <w:pStyle w:val="BodyText"/>
        <w:spacing w:before="218"/>
        <w:ind w:left="0"/>
        <w:rPr>
          <w:rFonts w:ascii="Palatino Linotype"/>
          <w:i/>
          <w:sz w:val="20"/>
        </w:rPr>
      </w:pPr>
    </w:p>
    <w:p w14:paraId="2E86E2B6" w14:textId="07B43F21" w:rsidR="009A4CEE" w:rsidRDefault="009A4CEE">
      <w:pPr>
        <w:pStyle w:val="BodyText"/>
        <w:spacing w:before="218"/>
        <w:ind w:left="0"/>
        <w:rPr>
          <w:rFonts w:ascii="Palatino Linotype"/>
          <w:i/>
          <w:sz w:val="20"/>
        </w:rPr>
      </w:pPr>
    </w:p>
    <w:p w14:paraId="76DB915D" w14:textId="0EF86EDA" w:rsidR="009A4CEE" w:rsidRDefault="009A4CEE">
      <w:pPr>
        <w:pStyle w:val="BodyText"/>
        <w:spacing w:before="218"/>
        <w:ind w:left="0"/>
        <w:rPr>
          <w:rFonts w:ascii="Palatino Linotype"/>
          <w:i/>
          <w:sz w:val="20"/>
        </w:rPr>
      </w:pPr>
    </w:p>
    <w:p w14:paraId="6BC14E3A" w14:textId="77777777" w:rsidR="00DB0240" w:rsidRDefault="00DB0240">
      <w:pPr>
        <w:pStyle w:val="BodyText"/>
        <w:spacing w:before="218"/>
        <w:ind w:left="0"/>
        <w:rPr>
          <w:rFonts w:ascii="Palatino Linotype"/>
          <w:i/>
          <w:sz w:val="20"/>
        </w:rPr>
      </w:pPr>
    </w:p>
    <w:p w14:paraId="29E3A094" w14:textId="77777777" w:rsidR="003C607D" w:rsidRDefault="004A52CB">
      <w:pPr>
        <w:spacing w:line="213" w:lineRule="auto"/>
        <w:ind w:left="140" w:right="3357"/>
        <w:rPr>
          <w:rFonts w:ascii="Palatino Linotype"/>
          <w:b/>
          <w:spacing w:val="-6"/>
          <w:sz w:val="20"/>
        </w:rPr>
      </w:pPr>
      <w:r>
        <w:rPr>
          <w:rFonts w:ascii="Palatino Linotype"/>
          <w:b/>
          <w:sz w:val="20"/>
        </w:rPr>
        <w:t>PENDAHULUAN</w:t>
      </w:r>
    </w:p>
    <w:p w14:paraId="22AFF440" w14:textId="1051B6EF" w:rsidR="00CF3ACF" w:rsidRDefault="004A52CB">
      <w:pPr>
        <w:spacing w:line="213" w:lineRule="auto"/>
        <w:ind w:left="140" w:right="3357"/>
        <w:rPr>
          <w:rFonts w:ascii="Palatino Linotype"/>
          <w:b/>
        </w:rPr>
      </w:pPr>
      <w:r>
        <w:rPr>
          <w:rFonts w:ascii="Palatino Linotype"/>
          <w:b/>
        </w:rPr>
        <w:t>Latar Belakang</w:t>
      </w:r>
    </w:p>
    <w:p w14:paraId="70F28274" w14:textId="65F70150" w:rsidR="00CF3ACF" w:rsidRDefault="009A4CEE" w:rsidP="009A4CEE">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Indonesia sedang bergulat dengan darurat narkotika. Penyebaran zat adiktif sudah meresahkan dan mengancam stabilitas negara serta kesehatan rakyat. Ganja menjadi salah satu jenis narkotika yang paling banyak dipakai dan jaringannya paling luas. Berdasarkan Undang-Undang Nomor 35 Tahun 2009 tentang Narkotika, ganja digolongkan sebagai Narkotika Golongan I. Artinya, semua aktivitas terkait penggunaan, kepemilikan, penyebaran, atau pembudidayaan ganja adalah tindak pidana berat dengan hukuman tegas. Penemuan ladang ganja di daerah terpencil atau perkebunan yang jarang tersentuh membuktikan sindikat narkotika terus mencari celah memproduksi barang haram di dalam negeri.</w:t>
      </w:r>
    </w:p>
    <w:p w14:paraId="71CA5CB8" w14:textId="77777777" w:rsidR="009A4CEE" w:rsidRDefault="009A4CEE" w:rsidP="009A4CEE">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Narkotika adalah zat atau obat dari alam, sintetis, atau semi sintetis yang bisa menurunkan kesadaran, mengganggu penglihatan, dan memperkuat daya rangsang. Undang-Undang Narkotika Pasal 1 ayat (1) mendefinisikan narkotika sebagai zat dari tanaman atau buatan yang menyebabkan efek ilusi, mengurangi kesadaran, dan mengakibatkan kecanduan. Di Indonesia, ganja menjadi jenis narkotika yang paling sering disalahgunakan, masuk Golongan I jenis tanaman, bersama sabu-sabu yang termasuk Golongan I jenis zat kimia sintetis.¹</w:t>
      </w:r>
    </w:p>
    <w:p w14:paraId="6325480E" w14:textId="77777777" w:rsidR="009A4CEE" w:rsidRDefault="009A4CEE" w:rsidP="009A4CEE">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Peredaran narkoba sudah sangat memprihatinkan. Kemudahan mendapat bahan berbahaya ini membuat pengguna makin bertambah. Tidak pandang jenis kelamin atau usia, siapa pun berisiko kecanduan jika mencoba. Meski beberapa jenis narkotika diizinkan untuk pengobatan, penggunaannya harus diawasi ketat oleh dokter.</w:t>
      </w:r>
    </w:p>
    <w:p w14:paraId="399718ED" w14:textId="77777777" w:rsidR="003C607D" w:rsidRDefault="009A4CEE" w:rsidP="003C607D">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Kasus mencolok yang menyita perhatian publik terjadi di Desa Krisik, Kecamatan Gandusari, Kabupaten Blitar. Aparat penegak hukum menemukan ladang ganja yang ditanam terselubung di sela-sela tanaman perkebunan warga. Modus ini kerap menyulitkan deteksi dini oleh pihak berwenang. Penemuan ladang ganja bermula dari pemeriksaan terhadap kelompok yang diduga menyerang sekitar Polres Blitar Kota dan melukai 21 aparat pada Minggu, 31 Agustus 2025. Polres Blitar Kota mengamankan 143 orang, terdiri dari 83 orang dewasa dan 60 anak-anak. Dari pemeriksaan, penyidik menetapkan 10 tersangka dan 19 anak berhadapan dengan hukum. Hasil tes urine beberapa pelaku positif menggunakan narkoba, yaitu sabu-sabu dan ganja. Dari temuan ganja, penyidik mengembangkan dan menemukan ladang ganja di Dusun Tirtomoyo Desa Krisik Kecamatan Gandusari Kabupaten Blitar dengan 820 batang tanaman ganja berbagai ukuran.²</w:t>
      </w:r>
    </w:p>
    <w:p w14:paraId="72750973" w14:textId="4F36A29F" w:rsidR="00DB0240" w:rsidRDefault="003C607D" w:rsidP="00DB0240">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 xml:space="preserve">Kendala utama dalam kasus semacam ini adalah menentukan siapa yang bertanggung jawab secara pidana, khususnya jika pelaku utama penanaman tidak tertangkap di lokasi. </w:t>
      </w:r>
      <w:r w:rsidR="00DB0240" w:rsidRPr="009A4CEE">
        <w:rPr>
          <w:rFonts w:ascii="Book Antiqua" w:hAnsi="Book Antiqua"/>
          <w:w w:val="105"/>
          <w:lang w:val="en-US"/>
        </w:rPr>
        <w:t>Ini memunculkan pertanyaan penting tentang posisi hukum pemilik lahan tempat ganja ditemukan.</w:t>
      </w:r>
    </w:p>
    <w:p w14:paraId="6E59982C" w14:textId="3E56C1B7" w:rsidR="00DB0240" w:rsidRDefault="00DB0240" w:rsidP="003C607D">
      <w:pPr>
        <w:pStyle w:val="BodyText"/>
        <w:spacing w:before="23" w:line="271" w:lineRule="auto"/>
        <w:ind w:left="0" w:right="12"/>
        <w:jc w:val="both"/>
        <w:rPr>
          <w:rFonts w:ascii="Book Antiqua" w:hAnsi="Book Antiqua"/>
          <w:w w:val="105"/>
          <w:lang w:val="en-US"/>
        </w:rPr>
      </w:pPr>
      <w:r>
        <w:rPr>
          <w:rFonts w:ascii="Book Antiqua" w:hAnsi="Book Antiqua"/>
          <w:noProof/>
          <w:lang w:val="en-US"/>
        </w:rPr>
        <mc:AlternateContent>
          <mc:Choice Requires="wps">
            <w:drawing>
              <wp:anchor distT="0" distB="0" distL="114300" distR="114300" simplePos="0" relativeHeight="251656192" behindDoc="0" locked="0" layoutInCell="1" allowOverlap="1" wp14:anchorId="3792674A" wp14:editId="7851A61C">
                <wp:simplePos x="0" y="0"/>
                <wp:positionH relativeFrom="column">
                  <wp:posOffset>16076</wp:posOffset>
                </wp:positionH>
                <wp:positionV relativeFrom="paragraph">
                  <wp:posOffset>125883</wp:posOffset>
                </wp:positionV>
                <wp:extent cx="257670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6AC37" id="Straight Connector 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9.9pt" to="204.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" strokecolor="black [3040]"/>
            </w:pict>
          </mc:Fallback>
        </mc:AlternateContent>
      </w:r>
    </w:p>
    <w:p w14:paraId="62294660" w14:textId="33B62942" w:rsidR="003C607D" w:rsidRPr="003C607D" w:rsidRDefault="003C607D" w:rsidP="003C607D">
      <w:pPr>
        <w:pStyle w:val="BodyText"/>
        <w:spacing w:before="23" w:line="271" w:lineRule="auto"/>
        <w:ind w:left="0" w:right="12"/>
        <w:jc w:val="both"/>
        <w:rPr>
          <w:rFonts w:ascii="Book Antiqua" w:hAnsi="Book Antiqua"/>
          <w:w w:val="105"/>
          <w:lang w:val="en-US"/>
        </w:rPr>
      </w:pPr>
      <w:r w:rsidRPr="003C607D">
        <w:rPr>
          <w:rFonts w:ascii="Book Antiqua" w:hAnsi="Book Antiqua"/>
          <w:w w:val="105"/>
          <w:lang w:val="en-US"/>
        </w:rPr>
        <w:t>¹ Andrew Law et al., "</w:t>
      </w:r>
      <w:r w:rsidRPr="00F5125C">
        <w:rPr>
          <w:rFonts w:ascii="Book Antiqua" w:hAnsi="Book Antiqua"/>
          <w:i/>
          <w:iCs/>
          <w:w w:val="105"/>
          <w:lang w:val="en-US"/>
        </w:rPr>
        <w:t>Penegakan Hukum Terhadap Tindak Pidana Penyalahgunaan Narkotika Dan Psikotropika</w:t>
      </w:r>
      <w:r w:rsidRPr="003C607D">
        <w:rPr>
          <w:rFonts w:ascii="Book Antiqua" w:hAnsi="Book Antiqua"/>
          <w:w w:val="105"/>
          <w:lang w:val="en-US"/>
        </w:rPr>
        <w:t>" 1 (2022): 22–28.</w:t>
      </w:r>
    </w:p>
    <w:p w14:paraId="28CF7153" w14:textId="393B5199" w:rsidR="00DB0240" w:rsidRDefault="003C607D" w:rsidP="003C607D">
      <w:pPr>
        <w:pStyle w:val="BodyText"/>
        <w:spacing w:before="23" w:line="271" w:lineRule="auto"/>
        <w:ind w:left="0" w:right="12"/>
        <w:jc w:val="both"/>
        <w:rPr>
          <w:rFonts w:ascii="Book Antiqua" w:hAnsi="Book Antiqua"/>
          <w:w w:val="105"/>
          <w:lang w:val="en-US"/>
        </w:rPr>
      </w:pPr>
      <w:r w:rsidRPr="003C607D">
        <w:rPr>
          <w:rFonts w:ascii="Book Antiqua" w:hAnsi="Book Antiqua"/>
          <w:w w:val="105"/>
          <w:lang w:val="en-US"/>
        </w:rPr>
        <w:t>² Hasil wawancara dengan penyidik Satresnarkoba Polres Blitar Kota, 28 November 2025.</w:t>
      </w:r>
    </w:p>
    <w:p w14:paraId="3DA1CB84" w14:textId="02FB2AB0" w:rsidR="009A4CEE" w:rsidRDefault="009A4CEE" w:rsidP="003C607D">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lastRenderedPageBreak/>
        <w:t>Berdasarkan prinsip hukum pidana, seseorang bisa dikenai pertanggungjawaban jika ada unsur kesalahan (</w:t>
      </w:r>
      <w:r w:rsidRPr="008329F0">
        <w:rPr>
          <w:rFonts w:ascii="Book Antiqua" w:hAnsi="Book Antiqua"/>
          <w:i/>
          <w:iCs/>
          <w:w w:val="105"/>
          <w:lang w:val="en-US"/>
        </w:rPr>
        <w:t>mens rea</w:t>
      </w:r>
      <w:r w:rsidRPr="009A4CEE">
        <w:rPr>
          <w:rFonts w:ascii="Book Antiqua" w:hAnsi="Book Antiqua"/>
          <w:w w:val="105"/>
          <w:lang w:val="en-US"/>
        </w:rPr>
        <w:t>) dan tindakan melanggar hukum (</w:t>
      </w:r>
      <w:r w:rsidRPr="008329F0">
        <w:rPr>
          <w:rFonts w:ascii="Book Antiqua" w:hAnsi="Book Antiqua"/>
          <w:i/>
          <w:iCs/>
          <w:w w:val="105"/>
          <w:lang w:val="en-US"/>
        </w:rPr>
        <w:t>actus reus</w:t>
      </w:r>
      <w:r w:rsidRPr="009A4CEE">
        <w:rPr>
          <w:rFonts w:ascii="Book Antiqua" w:hAnsi="Book Antiqua"/>
          <w:w w:val="105"/>
          <w:lang w:val="en-US"/>
        </w:rPr>
        <w:t>). Penelitian ini hendak mengupas secara mendalam tanggung jawab pidana pemilik lahan dalam kasus penanaman ganja di Desa Krisik.³</w:t>
      </w:r>
    </w:p>
    <w:p w14:paraId="2D4FA385" w14:textId="030961D8" w:rsidR="009A4CEE" w:rsidRPr="009A4CEE" w:rsidRDefault="009A4CEE" w:rsidP="003C607D">
      <w:pPr>
        <w:pStyle w:val="BodyText"/>
        <w:spacing w:before="23" w:line="271" w:lineRule="auto"/>
        <w:ind w:left="142" w:right="12"/>
        <w:jc w:val="both"/>
        <w:rPr>
          <w:rFonts w:ascii="Book Antiqua" w:hAnsi="Book Antiqua"/>
          <w:b/>
          <w:bCs/>
          <w:w w:val="105"/>
          <w:lang w:val="en-US"/>
        </w:rPr>
      </w:pPr>
      <w:r w:rsidRPr="009A4CEE">
        <w:rPr>
          <w:rFonts w:ascii="Book Antiqua" w:hAnsi="Book Antiqua"/>
          <w:b/>
          <w:bCs/>
          <w:w w:val="105"/>
          <w:lang w:val="en-US"/>
        </w:rPr>
        <w:t>Rumusan Masalah</w:t>
      </w:r>
    </w:p>
    <w:p w14:paraId="6F5FB5A3" w14:textId="77777777" w:rsidR="003C607D" w:rsidRDefault="009A4CEE" w:rsidP="003C607D">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Berdasarkan latar belakang di atas, rumusan masalah dalam penelitian ini adalah:</w:t>
      </w:r>
    </w:p>
    <w:p w14:paraId="60A84183" w14:textId="77777777" w:rsidR="003C607D" w:rsidRDefault="009A4CEE" w:rsidP="003C607D">
      <w:pPr>
        <w:pStyle w:val="BodyText"/>
        <w:numPr>
          <w:ilvl w:val="0"/>
          <w:numId w:val="2"/>
        </w:numPr>
        <w:spacing w:before="23" w:line="271" w:lineRule="auto"/>
        <w:ind w:right="12"/>
        <w:jc w:val="both"/>
        <w:rPr>
          <w:rFonts w:ascii="Book Antiqua" w:hAnsi="Book Antiqua"/>
          <w:w w:val="105"/>
          <w:lang w:val="en-US"/>
        </w:rPr>
      </w:pPr>
      <w:r w:rsidRPr="009A4CEE">
        <w:rPr>
          <w:rFonts w:ascii="Book Antiqua" w:hAnsi="Book Antiqua"/>
          <w:w w:val="105"/>
          <w:lang w:val="en-US"/>
        </w:rPr>
        <w:t>Apakah pemilik lahan dapat dipersalahkan jika ia mengaku tidak mengetahui atau tidak terlibat langsung dalam aktivitas penanaman ganja di lahannya?</w:t>
      </w:r>
    </w:p>
    <w:p w14:paraId="401E53BD" w14:textId="7DD14746" w:rsidR="009A4CEE" w:rsidRPr="003C607D" w:rsidRDefault="009A4CEE" w:rsidP="003C607D">
      <w:pPr>
        <w:pStyle w:val="BodyText"/>
        <w:numPr>
          <w:ilvl w:val="0"/>
          <w:numId w:val="2"/>
        </w:numPr>
        <w:spacing w:before="23" w:line="271" w:lineRule="auto"/>
        <w:ind w:right="12"/>
        <w:jc w:val="both"/>
        <w:rPr>
          <w:rFonts w:ascii="Book Antiqua" w:hAnsi="Book Antiqua"/>
          <w:w w:val="105"/>
          <w:lang w:val="en-US"/>
        </w:rPr>
      </w:pPr>
      <w:r w:rsidRPr="003C607D">
        <w:rPr>
          <w:rFonts w:ascii="Book Antiqua" w:hAnsi="Book Antiqua"/>
          <w:w w:val="105"/>
          <w:lang w:val="en-US"/>
        </w:rPr>
        <w:t>Apakah pembiaran atau kelalaian pemilik lahan dalam mengawasi lahannya dapat dikategorikan sebagai tindak pidana turut serta atau membantu tindak pidana narkotika?</w:t>
      </w:r>
    </w:p>
    <w:p w14:paraId="3FDB0E57" w14:textId="480C40E4" w:rsidR="009A4CEE" w:rsidRPr="009A4CEE" w:rsidRDefault="009A4CEE" w:rsidP="003C607D">
      <w:pPr>
        <w:pStyle w:val="BodyText"/>
        <w:spacing w:before="23" w:line="271" w:lineRule="auto"/>
        <w:ind w:left="142" w:right="12"/>
        <w:jc w:val="both"/>
        <w:rPr>
          <w:rFonts w:ascii="Book Antiqua" w:hAnsi="Book Antiqua"/>
          <w:b/>
          <w:bCs/>
          <w:w w:val="105"/>
          <w:lang w:val="en-US"/>
        </w:rPr>
      </w:pPr>
      <w:r w:rsidRPr="009A4CEE">
        <w:rPr>
          <w:rFonts w:ascii="Book Antiqua" w:hAnsi="Book Antiqua"/>
          <w:b/>
          <w:bCs/>
          <w:w w:val="105"/>
          <w:lang w:val="en-US"/>
        </w:rPr>
        <w:t>Tujuan Penelitian</w:t>
      </w:r>
    </w:p>
    <w:p w14:paraId="1BA20409" w14:textId="19224A11" w:rsidR="009A4CEE" w:rsidRPr="009A4CEE" w:rsidRDefault="009A4CEE" w:rsidP="009A4CEE">
      <w:pPr>
        <w:pStyle w:val="BodyText"/>
        <w:spacing w:before="23" w:line="271" w:lineRule="auto"/>
        <w:ind w:left="140" w:right="12" w:firstLine="427"/>
        <w:jc w:val="both"/>
        <w:rPr>
          <w:rFonts w:ascii="Book Antiqua" w:hAnsi="Book Antiqua"/>
          <w:w w:val="105"/>
          <w:lang w:val="en-US"/>
        </w:rPr>
      </w:pPr>
      <w:r w:rsidRPr="009A4CEE">
        <w:rPr>
          <w:rFonts w:ascii="Book Antiqua" w:hAnsi="Book Antiqua"/>
          <w:w w:val="105"/>
          <w:lang w:val="en-US"/>
        </w:rPr>
        <w:t>Tujuan yang hendak dicapai dalam penelitian ini adalah:</w:t>
      </w:r>
    </w:p>
    <w:p w14:paraId="5C48AD4F" w14:textId="77777777" w:rsidR="003C607D" w:rsidRDefault="009A4CEE" w:rsidP="003C607D">
      <w:pPr>
        <w:pStyle w:val="BodyText"/>
        <w:numPr>
          <w:ilvl w:val="0"/>
          <w:numId w:val="3"/>
        </w:numPr>
        <w:spacing w:before="23" w:line="271" w:lineRule="auto"/>
        <w:ind w:right="12"/>
        <w:jc w:val="both"/>
        <w:rPr>
          <w:rFonts w:ascii="Book Antiqua" w:hAnsi="Book Antiqua"/>
          <w:w w:val="105"/>
          <w:lang w:val="en-US"/>
        </w:rPr>
      </w:pPr>
      <w:r w:rsidRPr="009A4CEE">
        <w:rPr>
          <w:rFonts w:ascii="Book Antiqua" w:hAnsi="Book Antiqua"/>
          <w:w w:val="105"/>
          <w:lang w:val="en-US"/>
        </w:rPr>
        <w:t>Mengetahui apakah pemilik lahan dapat dipersalahkan jika ia mengaku tidak mengetahui atau tidak terlibat langsung dalam aktivitas penanaman ganja di lahannya.</w:t>
      </w:r>
    </w:p>
    <w:p w14:paraId="407FEC94" w14:textId="0EF8079C" w:rsidR="009A4CEE" w:rsidRPr="003C607D" w:rsidRDefault="009A4CEE" w:rsidP="003C607D">
      <w:pPr>
        <w:pStyle w:val="BodyText"/>
        <w:numPr>
          <w:ilvl w:val="0"/>
          <w:numId w:val="3"/>
        </w:numPr>
        <w:spacing w:before="23" w:line="271" w:lineRule="auto"/>
        <w:ind w:right="12"/>
        <w:jc w:val="both"/>
        <w:rPr>
          <w:rFonts w:ascii="Book Antiqua" w:hAnsi="Book Antiqua"/>
          <w:w w:val="105"/>
          <w:lang w:val="en-US"/>
        </w:rPr>
      </w:pPr>
      <w:r w:rsidRPr="003C607D">
        <w:rPr>
          <w:rFonts w:ascii="Book Antiqua" w:hAnsi="Book Antiqua"/>
          <w:w w:val="105"/>
          <w:lang w:val="en-US"/>
        </w:rPr>
        <w:t>Mengetahui apakah pembiaran atau kelalaian pemilik lahan dalam mengawasi lahannya dapat dikategorikan sebagai tindak pidana turut serta atau membantu tindak pidana narkotika.</w:t>
      </w:r>
    </w:p>
    <w:p w14:paraId="79CA7A98" w14:textId="67CE07F6" w:rsidR="009A4CEE" w:rsidRDefault="009A4CEE" w:rsidP="009A4CEE">
      <w:pPr>
        <w:pStyle w:val="BodyText"/>
        <w:spacing w:before="23" w:line="271" w:lineRule="auto"/>
        <w:ind w:left="0" w:right="12"/>
        <w:jc w:val="both"/>
        <w:rPr>
          <w:rFonts w:ascii="Book Antiqua" w:hAnsi="Book Antiqua"/>
          <w:w w:val="105"/>
          <w:lang w:val="en-US"/>
        </w:rPr>
      </w:pPr>
    </w:p>
    <w:p w14:paraId="69120B1E" w14:textId="74416200" w:rsidR="009A4CEE" w:rsidRPr="009A4CEE" w:rsidRDefault="009A4CEE" w:rsidP="009A4CEE">
      <w:pPr>
        <w:pStyle w:val="BodyText"/>
        <w:spacing w:before="23" w:line="271" w:lineRule="auto"/>
        <w:ind w:left="0" w:right="12"/>
        <w:jc w:val="both"/>
        <w:rPr>
          <w:rFonts w:ascii="Book Antiqua" w:hAnsi="Book Antiqua"/>
          <w:b/>
          <w:bCs/>
          <w:w w:val="105"/>
          <w:lang w:val="en-US"/>
        </w:rPr>
      </w:pPr>
      <w:r w:rsidRPr="009A4CEE">
        <w:rPr>
          <w:rFonts w:ascii="Book Antiqua" w:hAnsi="Book Antiqua"/>
          <w:b/>
          <w:bCs/>
          <w:w w:val="105"/>
          <w:lang w:val="en-US"/>
        </w:rPr>
        <w:t xml:space="preserve">METODE PENELITIAN </w:t>
      </w:r>
    </w:p>
    <w:p w14:paraId="0D133DB2" w14:textId="01D1CA47" w:rsidR="009A4CEE" w:rsidRPr="009A4CEE" w:rsidRDefault="009A4CEE" w:rsidP="009A4CEE">
      <w:pPr>
        <w:pStyle w:val="BodyText"/>
        <w:spacing w:before="5" w:line="292" w:lineRule="auto"/>
        <w:ind w:left="140" w:right="14" w:firstLine="427"/>
        <w:jc w:val="both"/>
        <w:rPr>
          <w:rFonts w:ascii="Book Antiqua" w:hAnsi="Book Antiqua"/>
          <w:spacing w:val="-12"/>
          <w:w w:val="105"/>
        </w:rPr>
      </w:pPr>
      <w:r w:rsidRPr="009A4CEE">
        <w:rPr>
          <w:rFonts w:ascii="Book Antiqua" w:hAnsi="Book Antiqua"/>
          <w:spacing w:val="-12"/>
          <w:w w:val="105"/>
        </w:rPr>
        <w:t xml:space="preserve">Penelitian ini memakai pendekatan hukum normatif-empiris atau </w:t>
      </w:r>
      <w:r w:rsidRPr="009E09C1">
        <w:rPr>
          <w:rFonts w:ascii="Book Antiqua" w:hAnsi="Book Antiqua"/>
          <w:i/>
          <w:iCs/>
          <w:spacing w:val="-12"/>
          <w:w w:val="105"/>
        </w:rPr>
        <w:t>socio-legal research</w:t>
      </w:r>
      <w:r w:rsidRPr="009A4CEE">
        <w:rPr>
          <w:rFonts w:ascii="Book Antiqua" w:hAnsi="Book Antiqua"/>
          <w:spacing w:val="-12"/>
          <w:w w:val="105"/>
        </w:rPr>
        <w:t>. Pendekatan ini menggabungkan analisis peraturan hukum pidana dengan pengamatan fakta di lapangan, sehingga bisa mengungkap kondisi nyata terkait tanggung jawab pidana pemilik lahan. Pendekatan kualitatif dipakai untuk menggambarkan secara mendalam fenomena dalam kasus tertentu. Fokus utamanya pada interpretasi data dari konteks situasi, dengan perspektif pelaku hukum seperti penegak hukum, pemilik lahan, dan saksi-saksi.</w:t>
      </w:r>
      <w:r w:rsidRPr="009A4CEE">
        <w:rPr>
          <w:rFonts w:ascii="Times New Roman" w:hAnsi="Times New Roman" w:cs="Times New Roman"/>
          <w:spacing w:val="-12"/>
          <w:w w:val="105"/>
        </w:rPr>
        <w:t>⁴</w:t>
      </w:r>
    </w:p>
    <w:p w14:paraId="0E0C5DCD" w14:textId="02F833D9" w:rsidR="00CB517B" w:rsidRPr="00882BD1" w:rsidRDefault="009A4CEE" w:rsidP="009A4CEE">
      <w:pPr>
        <w:pStyle w:val="BodyText"/>
        <w:spacing w:before="5" w:line="292" w:lineRule="auto"/>
        <w:ind w:left="140" w:right="14" w:firstLine="427"/>
        <w:jc w:val="both"/>
        <w:rPr>
          <w:rFonts w:ascii="Book Antiqua" w:hAnsi="Book Antiqua"/>
          <w:spacing w:val="-12"/>
          <w:w w:val="105"/>
          <w:lang w:val="en-US"/>
        </w:rPr>
      </w:pPr>
      <w:r w:rsidRPr="009A4CEE">
        <w:rPr>
          <w:rFonts w:ascii="Book Antiqua" w:hAnsi="Book Antiqua"/>
          <w:spacing w:val="-12"/>
          <w:w w:val="105"/>
        </w:rPr>
        <w:t>Lokasi penelitian di Polres Blitar Kota (Unit Satuan Reserse Narkoba) dan kediaman Saiful Anwar di Dusun Tirtomoyo Desa Krisik Kecamatan Gandusa</w:t>
      </w:r>
      <w:r w:rsidR="00882BD1">
        <w:rPr>
          <w:rFonts w:ascii="Book Antiqua" w:hAnsi="Book Antiqua"/>
          <w:spacing w:val="-12"/>
          <w:w w:val="105"/>
          <w:lang w:val="en-US"/>
        </w:rPr>
        <w:t>ri Kabupaten Blitar.</w:t>
      </w:r>
    </w:p>
    <w:p w14:paraId="4D5389C6" w14:textId="60A5DFC4" w:rsidR="009A4CEE" w:rsidRDefault="009A4CEE" w:rsidP="009A4CEE">
      <w:pPr>
        <w:pStyle w:val="BodyText"/>
        <w:spacing w:before="5" w:line="292" w:lineRule="auto"/>
        <w:ind w:left="140" w:right="14" w:firstLine="427"/>
        <w:jc w:val="both"/>
        <w:rPr>
          <w:rFonts w:ascii="Book Antiqua" w:hAnsi="Book Antiqua"/>
          <w:spacing w:val="-12"/>
          <w:w w:val="105"/>
        </w:rPr>
      </w:pPr>
      <w:r w:rsidRPr="009A4CEE">
        <w:rPr>
          <w:rFonts w:ascii="Book Antiqua" w:hAnsi="Book Antiqua"/>
          <w:spacing w:val="-12"/>
          <w:w w:val="105"/>
        </w:rPr>
        <w:t xml:space="preserve">Penelitian berlangsung dari 28 November sampai 1 Desember 2025 di Unit Satuan Reserse Narkoba dan 24 Mei 2026 di kediaman Saiful Anwar. Sumber data primer dari wawancara dan observasi di Satresnarkoba Polres Blitar Kota, meliputi penyidik Polres Blitar, pemilik lahan/terdakwa, dan saksi masyarakat Desa Krisik. </w:t>
      </w:r>
    </w:p>
    <w:p w14:paraId="697B963E" w14:textId="77777777" w:rsidR="00DB0240" w:rsidRDefault="00DB0240" w:rsidP="006042B7">
      <w:pPr>
        <w:pStyle w:val="BodyText"/>
        <w:spacing w:before="5" w:line="292" w:lineRule="auto"/>
        <w:ind w:left="0" w:right="14"/>
        <w:jc w:val="both"/>
        <w:rPr>
          <w:rFonts w:ascii="Times New Roman" w:hAnsi="Times New Roman" w:cs="Times New Roman"/>
          <w:spacing w:val="-12"/>
          <w:w w:val="105"/>
        </w:rPr>
      </w:pPr>
    </w:p>
    <w:p w14:paraId="5D8515A4" w14:textId="26965F1D" w:rsidR="00DB0240" w:rsidRPr="009A4CEE" w:rsidRDefault="00DB0240" w:rsidP="00DB0240">
      <w:pPr>
        <w:pStyle w:val="BodyText"/>
        <w:spacing w:before="5" w:line="292" w:lineRule="auto"/>
        <w:ind w:left="0" w:right="14"/>
        <w:jc w:val="both"/>
        <w:rPr>
          <w:rFonts w:ascii="Book Antiqua" w:hAnsi="Book Antiqua"/>
          <w:spacing w:val="-12"/>
          <w:w w:val="105"/>
        </w:rPr>
      </w:pPr>
      <w:r>
        <w:rPr>
          <w:rFonts w:ascii="Book Antiqua" w:hAnsi="Book Antiqua"/>
          <w:noProof/>
          <w:lang w:val="en-US"/>
        </w:rPr>
        <mc:AlternateContent>
          <mc:Choice Requires="wps">
            <w:drawing>
              <wp:anchor distT="0" distB="0" distL="114300" distR="114300" simplePos="0" relativeHeight="251661312" behindDoc="0" locked="0" layoutInCell="1" allowOverlap="1" wp14:anchorId="71CB95C0" wp14:editId="54F78948">
                <wp:simplePos x="0" y="0"/>
                <wp:positionH relativeFrom="column">
                  <wp:posOffset>76955</wp:posOffset>
                </wp:positionH>
                <wp:positionV relativeFrom="paragraph">
                  <wp:posOffset>95061</wp:posOffset>
                </wp:positionV>
                <wp:extent cx="257670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ABBB5"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7.5pt" to="208.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" strokecolor="black [3040]"/>
            </w:pict>
          </mc:Fallback>
        </mc:AlternateContent>
      </w:r>
    </w:p>
    <w:p w14:paraId="16B957F6" w14:textId="77777777" w:rsidR="00DB0240" w:rsidRDefault="00DB0240" w:rsidP="00DB0240">
      <w:pPr>
        <w:pStyle w:val="BodyText"/>
        <w:spacing w:before="5" w:line="292" w:lineRule="auto"/>
        <w:ind w:left="140" w:right="14"/>
        <w:jc w:val="both"/>
        <w:rPr>
          <w:rFonts w:ascii="Book Antiqua" w:hAnsi="Book Antiqua"/>
          <w:spacing w:val="-12"/>
          <w:w w:val="105"/>
        </w:rPr>
      </w:pPr>
      <w:r w:rsidRPr="00DB0240">
        <w:rPr>
          <w:rFonts w:ascii="Book Antiqua" w:hAnsi="Book Antiqua"/>
          <w:spacing w:val="-12"/>
          <w:w w:val="105"/>
        </w:rPr>
        <w:t>³ Robin Apolonius Salem and Rona Indara, "</w:t>
      </w:r>
      <w:r w:rsidRPr="00811193">
        <w:rPr>
          <w:rFonts w:ascii="Book Antiqua" w:hAnsi="Book Antiqua"/>
          <w:i/>
          <w:iCs/>
          <w:spacing w:val="-12"/>
          <w:w w:val="105"/>
        </w:rPr>
        <w:t>Kewenangan Kepala Desa Dalam Pengembangan Dan Pertanggungjawaban Pidana Dalam Perspektif Undang-Undang Nomor 35 Tahun 2009 Tentang Narkotika,</w:t>
      </w:r>
      <w:r w:rsidRPr="00DB0240">
        <w:rPr>
          <w:rFonts w:ascii="Book Antiqua" w:hAnsi="Book Antiqua"/>
          <w:spacing w:val="-12"/>
          <w:w w:val="105"/>
        </w:rPr>
        <w:t>" no. 1 (2023): 289–302.</w:t>
      </w:r>
    </w:p>
    <w:p w14:paraId="06B3DC31" w14:textId="1A64590F" w:rsidR="00DB0240" w:rsidRPr="00DB0240" w:rsidRDefault="00DB0240" w:rsidP="00DB0240">
      <w:pPr>
        <w:pStyle w:val="BodyText"/>
        <w:spacing w:before="5" w:line="292" w:lineRule="auto"/>
        <w:ind w:left="140" w:right="14"/>
        <w:jc w:val="both"/>
        <w:rPr>
          <w:rFonts w:ascii="Book Antiqua" w:hAnsi="Book Antiqua"/>
          <w:spacing w:val="-12"/>
          <w:w w:val="105"/>
        </w:rPr>
      </w:pPr>
      <w:r w:rsidRPr="00DB0240">
        <w:rPr>
          <w:rFonts w:ascii="Times New Roman" w:hAnsi="Times New Roman" w:cs="Times New Roman"/>
          <w:spacing w:val="-12"/>
          <w:w w:val="105"/>
        </w:rPr>
        <w:t>⁴</w:t>
      </w:r>
      <w:r w:rsidRPr="00DB0240">
        <w:rPr>
          <w:rFonts w:ascii="Book Antiqua" w:hAnsi="Book Antiqua"/>
          <w:spacing w:val="-12"/>
          <w:w w:val="105"/>
        </w:rPr>
        <w:t xml:space="preserve"> Hasil observasi dan wawancara di Satresnarkoba Polres Blitar Kota, November-Desember 2025.</w:t>
      </w:r>
    </w:p>
    <w:p w14:paraId="3D130969" w14:textId="161346FF" w:rsidR="00DB0240" w:rsidRDefault="00DB0240" w:rsidP="00DB0240">
      <w:pPr>
        <w:pStyle w:val="BodyText"/>
        <w:spacing w:before="5" w:line="292" w:lineRule="auto"/>
        <w:ind w:left="140" w:right="14" w:firstLine="427"/>
        <w:jc w:val="both"/>
        <w:rPr>
          <w:rFonts w:ascii="Book Antiqua" w:hAnsi="Book Antiqua"/>
          <w:spacing w:val="-12"/>
          <w:w w:val="105"/>
        </w:rPr>
      </w:pPr>
    </w:p>
    <w:p w14:paraId="7C975FFA" w14:textId="77777777" w:rsidR="006042B7" w:rsidRPr="00DB0240" w:rsidRDefault="006042B7" w:rsidP="00DB0240">
      <w:pPr>
        <w:pStyle w:val="BodyText"/>
        <w:spacing w:before="5" w:line="292" w:lineRule="auto"/>
        <w:ind w:left="140" w:right="14" w:firstLine="427"/>
        <w:jc w:val="both"/>
        <w:rPr>
          <w:rFonts w:ascii="Book Antiqua" w:hAnsi="Book Antiqua"/>
          <w:spacing w:val="-12"/>
          <w:w w:val="105"/>
        </w:rPr>
      </w:pPr>
    </w:p>
    <w:p w14:paraId="3C57D65B" w14:textId="77777777" w:rsidR="00DB0240" w:rsidRDefault="00DB0240" w:rsidP="005B0DDA">
      <w:pPr>
        <w:pStyle w:val="BodyText"/>
        <w:spacing w:before="5" w:line="293" w:lineRule="auto"/>
        <w:ind w:left="142" w:right="11" w:firstLine="720"/>
        <w:jc w:val="both"/>
        <w:rPr>
          <w:rFonts w:ascii="Times New Roman" w:hAnsi="Times New Roman" w:cs="Times New Roman"/>
          <w:spacing w:val="-12"/>
          <w:w w:val="105"/>
        </w:rPr>
      </w:pPr>
      <w:r w:rsidRPr="009A4CEE">
        <w:rPr>
          <w:rFonts w:ascii="Book Antiqua" w:hAnsi="Book Antiqua"/>
          <w:spacing w:val="-12"/>
          <w:w w:val="105"/>
        </w:rPr>
        <w:lastRenderedPageBreak/>
        <w:t>Sumber data sekunder meliputi Undang-Undang Nomor 35 Tahun 2009 tentang Narkotika, KUHP, KUHAP, putusan pengadilan terkait, buku-buku hukum pidana, jurnal ilmiah, dan literatur kriminologi dan narkotika.</w:t>
      </w:r>
      <w:r w:rsidRPr="009A4CEE">
        <w:rPr>
          <w:rFonts w:ascii="Times New Roman" w:hAnsi="Times New Roman" w:cs="Times New Roman"/>
          <w:spacing w:val="-12"/>
          <w:w w:val="105"/>
        </w:rPr>
        <w:t>⁵</w:t>
      </w:r>
    </w:p>
    <w:p w14:paraId="6029B4F5" w14:textId="2335784C" w:rsidR="00E44BCC" w:rsidRDefault="009A4CEE" w:rsidP="00DB0240">
      <w:pPr>
        <w:pStyle w:val="BodyText"/>
        <w:spacing w:before="5" w:line="292" w:lineRule="auto"/>
        <w:ind w:left="140" w:right="14" w:firstLine="427"/>
        <w:jc w:val="both"/>
        <w:rPr>
          <w:rFonts w:ascii="Book Antiqua" w:hAnsi="Book Antiqua"/>
          <w:spacing w:val="-12"/>
          <w:w w:val="105"/>
        </w:rPr>
      </w:pPr>
      <w:r w:rsidRPr="009A4CEE">
        <w:rPr>
          <w:rFonts w:ascii="Book Antiqua" w:hAnsi="Book Antiqua"/>
          <w:spacing w:val="-12"/>
          <w:w w:val="105"/>
        </w:rPr>
        <w:t>Teknik pengumpulan data berupa studi dokumen/pustaka (</w:t>
      </w:r>
      <w:r w:rsidRPr="00F64776">
        <w:rPr>
          <w:rFonts w:ascii="Book Antiqua" w:hAnsi="Book Antiqua"/>
          <w:i/>
          <w:iCs/>
          <w:spacing w:val="-12"/>
          <w:w w:val="105"/>
        </w:rPr>
        <w:t>library research</w:t>
      </w:r>
      <w:r w:rsidRPr="009A4CEE">
        <w:rPr>
          <w:rFonts w:ascii="Book Antiqua" w:hAnsi="Book Antiqua"/>
          <w:spacing w:val="-12"/>
          <w:w w:val="105"/>
        </w:rPr>
        <w:t>) untuk data sekunder dan wawancara terstruktur dan tidak terstruktur untuk data primer. Analisis data dilakukan secara kualitatif dengan metode deskriptif</w:t>
      </w:r>
      <w:r w:rsidR="00ED3D86">
        <w:rPr>
          <w:rFonts w:ascii="Book Antiqua" w:hAnsi="Book Antiqua"/>
          <w:spacing w:val="-12"/>
          <w:w w:val="105"/>
          <w:lang w:val="en-US"/>
        </w:rPr>
        <w:t xml:space="preserve"> </w:t>
      </w:r>
      <w:r w:rsidRPr="009A4CEE">
        <w:rPr>
          <w:rFonts w:ascii="Book Antiqua" w:hAnsi="Book Antiqua"/>
          <w:spacing w:val="-12"/>
          <w:w w:val="105"/>
        </w:rPr>
        <w:t>analitis, penalaran logis (</w:t>
      </w:r>
      <w:r w:rsidRPr="00F64776">
        <w:rPr>
          <w:rFonts w:ascii="Book Antiqua" w:hAnsi="Book Antiqua"/>
          <w:i/>
          <w:iCs/>
          <w:spacing w:val="-12"/>
          <w:w w:val="105"/>
        </w:rPr>
        <w:t>logical reasoning</w:t>
      </w:r>
      <w:r w:rsidRPr="009A4CEE">
        <w:rPr>
          <w:rFonts w:ascii="Book Antiqua" w:hAnsi="Book Antiqua"/>
          <w:spacing w:val="-12"/>
          <w:w w:val="105"/>
        </w:rPr>
        <w:t>), dan interpretasi hukum.</w:t>
      </w:r>
    </w:p>
    <w:p w14:paraId="066EB258" w14:textId="77777777" w:rsidR="0072087A" w:rsidRPr="00541071" w:rsidRDefault="0072087A" w:rsidP="00541071">
      <w:pPr>
        <w:pStyle w:val="BodyText"/>
        <w:spacing w:before="5" w:line="292" w:lineRule="auto"/>
        <w:ind w:left="140" w:right="14" w:firstLine="427"/>
        <w:jc w:val="both"/>
        <w:rPr>
          <w:rFonts w:ascii="Book Antiqua" w:hAnsi="Book Antiqua"/>
          <w:spacing w:val="-12"/>
          <w:w w:val="105"/>
        </w:rPr>
      </w:pPr>
    </w:p>
    <w:p w14:paraId="147646C8" w14:textId="77777777" w:rsidR="00CF3ACF" w:rsidRDefault="004A52CB">
      <w:pPr>
        <w:pStyle w:val="Heading2"/>
        <w:ind w:left="255"/>
      </w:pPr>
      <w:r>
        <w:rPr>
          <w:spacing w:val="-2"/>
        </w:rPr>
        <w:t>PEMBAHASAN</w:t>
      </w:r>
    </w:p>
    <w:p w14:paraId="1C2CB6CF" w14:textId="2754694B" w:rsidR="0062262C" w:rsidRPr="0062262C" w:rsidRDefault="0062262C" w:rsidP="0062262C">
      <w:pPr>
        <w:pStyle w:val="BodyText"/>
        <w:spacing w:before="37" w:line="254" w:lineRule="auto"/>
        <w:ind w:left="140" w:right="10" w:firstLine="427"/>
        <w:jc w:val="both"/>
        <w:rPr>
          <w:rFonts w:ascii="Book Antiqua" w:hAnsi="Book Antiqua"/>
          <w:b/>
          <w:bCs/>
          <w:w w:val="105"/>
        </w:rPr>
      </w:pPr>
      <w:r w:rsidRPr="0062262C">
        <w:rPr>
          <w:rFonts w:ascii="Book Antiqua" w:hAnsi="Book Antiqua"/>
          <w:b/>
          <w:bCs/>
          <w:w w:val="105"/>
        </w:rPr>
        <w:t>A. Analisis Pertanggungjawaban Pidana Pemilik Lahan yang Mengaku Tidak Mengetahui Aktivitas Penanaman</w:t>
      </w:r>
    </w:p>
    <w:p w14:paraId="188612F1" w14:textId="7A6DDDF1" w:rsidR="0062262C" w:rsidRPr="0062262C" w:rsidRDefault="0062262C" w:rsidP="0062262C">
      <w:pPr>
        <w:pStyle w:val="BodyText"/>
        <w:spacing w:before="37" w:line="254" w:lineRule="auto"/>
        <w:ind w:left="140" w:right="10" w:firstLine="427"/>
        <w:jc w:val="both"/>
        <w:rPr>
          <w:rFonts w:ascii="Book Antiqua" w:hAnsi="Book Antiqua"/>
          <w:b/>
          <w:bCs/>
          <w:w w:val="105"/>
        </w:rPr>
      </w:pPr>
      <w:r w:rsidRPr="0062262C">
        <w:rPr>
          <w:rFonts w:ascii="Book Antiqua" w:hAnsi="Book Antiqua"/>
          <w:b/>
          <w:bCs/>
          <w:w w:val="105"/>
        </w:rPr>
        <w:t>1. Pengakuan Tidak Mengetahui dalam Hukum Pidana</w:t>
      </w:r>
    </w:p>
    <w:p w14:paraId="56AB1F84" w14:textId="583028E7" w:rsidR="00541071" w:rsidRPr="00541071" w:rsidRDefault="00541071" w:rsidP="00541071">
      <w:pPr>
        <w:pStyle w:val="BodyText"/>
        <w:spacing w:line="254" w:lineRule="auto"/>
        <w:ind w:left="140" w:right="13" w:firstLine="427"/>
        <w:jc w:val="both"/>
        <w:rPr>
          <w:rFonts w:ascii="Book Antiqua" w:hAnsi="Book Antiqua"/>
          <w:w w:val="105"/>
        </w:rPr>
      </w:pPr>
      <w:r w:rsidRPr="00541071">
        <w:rPr>
          <w:rFonts w:ascii="Book Antiqua" w:hAnsi="Book Antiqua"/>
          <w:w w:val="105"/>
        </w:rPr>
        <w:t>Pernyataan tidak tahu dari pemilik tanah mengenai objek atau kegiatan melanggar hukum di tanahnya adalah persoalan rumit dalam hukum pidana, terutama terkait unsur tanggung jawab pidana. Perlu dipahami perbedaan mendasar antara ketidaktahuan hukum dan ketidaktahuan fakta, karena dampak hukumnya berbeda.</w:t>
      </w:r>
      <w:r w:rsidRPr="00541071">
        <w:rPr>
          <w:rFonts w:ascii="Times New Roman" w:hAnsi="Times New Roman" w:cs="Times New Roman"/>
          <w:w w:val="105"/>
        </w:rPr>
        <w:t>⁶</w:t>
      </w:r>
    </w:p>
    <w:p w14:paraId="52384543" w14:textId="4A9E1C14" w:rsidR="00541071" w:rsidRPr="00541071" w:rsidRDefault="00541071" w:rsidP="00541071">
      <w:pPr>
        <w:pStyle w:val="BodyText"/>
        <w:spacing w:line="254" w:lineRule="auto"/>
        <w:ind w:left="140" w:right="13" w:firstLine="427"/>
        <w:jc w:val="both"/>
        <w:rPr>
          <w:rFonts w:ascii="Book Antiqua" w:hAnsi="Book Antiqua"/>
          <w:w w:val="105"/>
        </w:rPr>
      </w:pPr>
      <w:r w:rsidRPr="00541071">
        <w:rPr>
          <w:rFonts w:ascii="Book Antiqua" w:hAnsi="Book Antiqua"/>
          <w:w w:val="105"/>
        </w:rPr>
        <w:t xml:space="preserve">Ketidaktahuan hukum (tidak tahu suatu tindakan terlarang) umumnya tidak bisa jadi alasan menghindari tanggung jawab pidana. Ini berdasarkan prinsip </w:t>
      </w:r>
      <w:r w:rsidRPr="00541071">
        <w:rPr>
          <w:rFonts w:ascii="Book Antiqua" w:hAnsi="Book Antiqua"/>
          <w:i/>
          <w:iCs/>
          <w:w w:val="105"/>
        </w:rPr>
        <w:t>ignorantia legis neminem excusat</w:t>
      </w:r>
      <w:r w:rsidRPr="00541071">
        <w:rPr>
          <w:rFonts w:ascii="Book Antiqua" w:hAnsi="Book Antiqua"/>
          <w:w w:val="105"/>
        </w:rPr>
        <w:t>: ketidaktahuan tentang hukum tidak menghilangkan tanggung jawab hukum. Setelah peraturan diundangkan dan dipublikasikan, peraturan dianggap diketahui masyarakat dan berlaku untuk semua orang.</w:t>
      </w:r>
      <w:r w:rsidRPr="00541071">
        <w:rPr>
          <w:rFonts w:ascii="Times New Roman" w:hAnsi="Times New Roman" w:cs="Times New Roman"/>
          <w:w w:val="105"/>
        </w:rPr>
        <w:t>⁷</w:t>
      </w:r>
    </w:p>
    <w:p w14:paraId="6BBABE9F" w14:textId="685E3BD9" w:rsidR="00541071" w:rsidRPr="00541071" w:rsidRDefault="00541071" w:rsidP="00541071">
      <w:pPr>
        <w:pStyle w:val="BodyText"/>
        <w:spacing w:line="254" w:lineRule="auto"/>
        <w:ind w:left="140" w:right="13" w:firstLine="427"/>
        <w:jc w:val="both"/>
        <w:rPr>
          <w:rFonts w:ascii="Book Antiqua" w:hAnsi="Book Antiqua"/>
          <w:w w:val="105"/>
        </w:rPr>
      </w:pPr>
      <w:r w:rsidRPr="00541071">
        <w:rPr>
          <w:rFonts w:ascii="Book Antiqua" w:hAnsi="Book Antiqua"/>
          <w:w w:val="105"/>
        </w:rPr>
        <w:t>Dalam berbagai tindak pidana, unsur sengaja atau lalai tetap dipertimbangkan. Meski tidak tahu hukum tidak membebaskan seseorang dari akibat, tingkat kesalahan (sengaja, lalai, atau tanpa kesalahan) memengaruhi putusan dan sanksi. Dalam Pasal 111 ayat (1) UU Narkotika, unsur delik meliputi "setiap orang", "tanpa hak atau melawan hukum", serta perbuatan memiliki, menyimpan, atau menguasai narkotika.</w:t>
      </w:r>
    </w:p>
    <w:p w14:paraId="6A916870" w14:textId="022AF337" w:rsidR="00CF3ACF" w:rsidRDefault="00541071" w:rsidP="00541071">
      <w:pPr>
        <w:pStyle w:val="BodyText"/>
        <w:spacing w:line="254" w:lineRule="auto"/>
        <w:ind w:left="140" w:right="13" w:firstLine="427"/>
        <w:jc w:val="both"/>
        <w:rPr>
          <w:rFonts w:ascii="Times New Roman" w:hAnsi="Times New Roman" w:cs="Times New Roman"/>
          <w:w w:val="105"/>
        </w:rPr>
      </w:pPr>
      <w:r w:rsidRPr="00541071">
        <w:rPr>
          <w:rFonts w:ascii="Book Antiqua" w:hAnsi="Book Antiqua"/>
          <w:w w:val="105"/>
        </w:rPr>
        <w:t>Untuk pemilik lahan yang beralasan tidak tahu ada tanaman narkotika, hakim akan menguji apakah unsur "menguasai" terpenuhi: apakah pemilik punya kendali atas lahan dan seharusnya mengetahui atau mengawasi aktivitas di atasnya. Jika pemilik tidak menerapkan kehati-hatian wajar dan seharusnya patut menyangka, unsur menguasai terpenuhi meski pemilik tidak aktif menanam. Ini sesuai doktrin Pasal 480 KUHP tentang penadahan: "sepatutnya harus diduga diperoleh dari kejahatan" bisa jadi dasar pertanggungjawaban pidana meski tanpa kesengajaan langsung.</w:t>
      </w:r>
      <w:r w:rsidR="000C6F7D" w:rsidRPr="00541071">
        <w:rPr>
          <w:rFonts w:ascii="Times New Roman" w:hAnsi="Times New Roman" w:cs="Times New Roman"/>
          <w:w w:val="105"/>
        </w:rPr>
        <w:t>⁸</w:t>
      </w:r>
    </w:p>
    <w:p w14:paraId="765C61B6" w14:textId="06E5FB7C" w:rsidR="00DB0240" w:rsidRDefault="00DB0240" w:rsidP="00541071">
      <w:pPr>
        <w:pStyle w:val="BodyText"/>
        <w:spacing w:line="254" w:lineRule="auto"/>
        <w:ind w:left="140" w:right="13" w:firstLine="427"/>
        <w:jc w:val="both"/>
        <w:rPr>
          <w:rFonts w:ascii="Times New Roman" w:hAnsi="Times New Roman" w:cs="Times New Roman"/>
          <w:w w:val="105"/>
        </w:rPr>
      </w:pPr>
      <w:r>
        <w:rPr>
          <w:rFonts w:ascii="Book Antiqua" w:hAnsi="Book Antiqua"/>
          <w:noProof/>
          <w:lang w:val="en-US"/>
        </w:rPr>
        <mc:AlternateContent>
          <mc:Choice Requires="wps">
            <w:drawing>
              <wp:anchor distT="0" distB="0" distL="114300" distR="114300" simplePos="0" relativeHeight="251658240" behindDoc="0" locked="0" layoutInCell="1" allowOverlap="1" wp14:anchorId="6ADE79D5" wp14:editId="0ED8D2A8">
                <wp:simplePos x="0" y="0"/>
                <wp:positionH relativeFrom="column">
                  <wp:posOffset>56488</wp:posOffset>
                </wp:positionH>
                <wp:positionV relativeFrom="paragraph">
                  <wp:posOffset>73506</wp:posOffset>
                </wp:positionV>
                <wp:extent cx="257670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C1EF2"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5.8pt" to="207.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" strokecolor="black [3040]"/>
            </w:pict>
          </mc:Fallback>
        </mc:AlternateContent>
      </w:r>
    </w:p>
    <w:p w14:paraId="7C68CBD7" w14:textId="77777777" w:rsidR="00DB0240" w:rsidRPr="00DB0240" w:rsidRDefault="00DB0240" w:rsidP="00DB0240">
      <w:pPr>
        <w:pStyle w:val="BodyText"/>
        <w:spacing w:line="254" w:lineRule="auto"/>
        <w:ind w:left="0" w:right="13"/>
        <w:jc w:val="both"/>
        <w:rPr>
          <w:rFonts w:ascii="Book Antiqua" w:hAnsi="Book Antiqua"/>
        </w:rPr>
      </w:pPr>
      <w:r w:rsidRPr="00DB0240">
        <w:rPr>
          <w:rFonts w:ascii="Times New Roman" w:hAnsi="Times New Roman" w:cs="Times New Roman"/>
        </w:rPr>
        <w:t>⁵</w:t>
      </w:r>
      <w:r w:rsidRPr="00DB0240">
        <w:rPr>
          <w:rFonts w:ascii="Book Antiqua" w:hAnsi="Book Antiqua"/>
        </w:rPr>
        <w:t xml:space="preserve"> Dokumentasi dan berita acara penyidikan kasus penemuan ladang ganja di Desa Krisik, 2025.</w:t>
      </w:r>
    </w:p>
    <w:p w14:paraId="33247634" w14:textId="77777777" w:rsidR="00DB0240" w:rsidRPr="00DB0240" w:rsidRDefault="00DB0240" w:rsidP="00DB0240">
      <w:pPr>
        <w:pStyle w:val="BodyText"/>
        <w:spacing w:line="254" w:lineRule="auto"/>
        <w:ind w:left="0" w:right="13"/>
        <w:jc w:val="both"/>
        <w:rPr>
          <w:rFonts w:ascii="Book Antiqua" w:hAnsi="Book Antiqua"/>
        </w:rPr>
      </w:pPr>
      <w:r w:rsidRPr="00DB0240">
        <w:rPr>
          <w:rFonts w:ascii="Times New Roman" w:hAnsi="Times New Roman" w:cs="Times New Roman"/>
        </w:rPr>
        <w:t>⁶</w:t>
      </w:r>
      <w:r w:rsidRPr="00DB0240">
        <w:rPr>
          <w:rFonts w:ascii="Book Antiqua" w:hAnsi="Book Antiqua"/>
        </w:rPr>
        <w:t xml:space="preserve"> https://www.hukumonline.com/klinik/a/tidak-tahu-barang-yang-dibeli-hasil-curian--bisakah-dipidana-lt53c906311f8a7/, diakses 17 Juni 2026.</w:t>
      </w:r>
    </w:p>
    <w:p w14:paraId="1AA5E0D0" w14:textId="77777777" w:rsidR="00DB0240" w:rsidRPr="00DB0240" w:rsidRDefault="00DB0240" w:rsidP="00DB0240">
      <w:pPr>
        <w:pStyle w:val="BodyText"/>
        <w:spacing w:line="254" w:lineRule="auto"/>
        <w:ind w:left="0" w:right="13"/>
        <w:jc w:val="both"/>
        <w:rPr>
          <w:rFonts w:ascii="Book Antiqua" w:hAnsi="Book Antiqua"/>
        </w:rPr>
      </w:pPr>
      <w:r w:rsidRPr="00DB0240">
        <w:rPr>
          <w:rFonts w:ascii="Times New Roman" w:hAnsi="Times New Roman" w:cs="Times New Roman"/>
        </w:rPr>
        <w:t>⁷</w:t>
      </w:r>
      <w:r w:rsidRPr="00DB0240">
        <w:rPr>
          <w:rFonts w:ascii="Book Antiqua" w:hAnsi="Book Antiqua"/>
        </w:rPr>
        <w:t xml:space="preserve"> https://www.herijaya.com/2025/08/kenapa-tidak-tahu-hukum-tetap-salah, diakses 17 Juni 2026.</w:t>
      </w:r>
    </w:p>
    <w:p w14:paraId="00D7873F" w14:textId="16B36E5C" w:rsidR="00DB0240" w:rsidRDefault="00DB0240" w:rsidP="00DB0240">
      <w:pPr>
        <w:pStyle w:val="BodyText"/>
        <w:spacing w:line="254" w:lineRule="auto"/>
        <w:ind w:left="0" w:right="13"/>
        <w:jc w:val="both"/>
        <w:rPr>
          <w:rFonts w:ascii="Book Antiqua" w:hAnsi="Book Antiqua"/>
        </w:rPr>
      </w:pPr>
      <w:r w:rsidRPr="00DB0240">
        <w:rPr>
          <w:rFonts w:ascii="Times New Roman" w:hAnsi="Times New Roman" w:cs="Times New Roman"/>
        </w:rPr>
        <w:t>⁸</w:t>
      </w:r>
      <w:r w:rsidRPr="00DB0240">
        <w:rPr>
          <w:rFonts w:ascii="Book Antiqua" w:hAnsi="Book Antiqua"/>
        </w:rPr>
        <w:t xml:space="preserve"> Pasal 111 ayat (1) Undang-Undang Nomor 35 Tahun 2009 tentang Narkotika.</w:t>
      </w:r>
    </w:p>
    <w:p w14:paraId="7C9D816E" w14:textId="417B5A23" w:rsidR="000C6F7D" w:rsidRDefault="000C6F7D" w:rsidP="00DB0240">
      <w:pPr>
        <w:pStyle w:val="BodyText"/>
        <w:spacing w:line="254" w:lineRule="auto"/>
        <w:ind w:left="0" w:right="13"/>
        <w:jc w:val="both"/>
        <w:rPr>
          <w:rFonts w:ascii="Book Antiqua" w:hAnsi="Book Antiqua"/>
        </w:rPr>
      </w:pPr>
    </w:p>
    <w:p w14:paraId="343DD040" w14:textId="77777777" w:rsidR="000C6F7D" w:rsidRPr="00DB0240" w:rsidRDefault="000C6F7D" w:rsidP="00DB0240">
      <w:pPr>
        <w:pStyle w:val="BodyText"/>
        <w:spacing w:line="254" w:lineRule="auto"/>
        <w:ind w:left="0" w:right="13"/>
        <w:jc w:val="both"/>
        <w:rPr>
          <w:rFonts w:ascii="Book Antiqua" w:hAnsi="Book Antiqua"/>
        </w:rPr>
      </w:pPr>
    </w:p>
    <w:p w14:paraId="213E51E4" w14:textId="6C040773" w:rsidR="0014767F" w:rsidRPr="0014767F" w:rsidRDefault="0014767F" w:rsidP="0014767F">
      <w:pPr>
        <w:pStyle w:val="BodyText"/>
        <w:spacing w:line="254" w:lineRule="auto"/>
        <w:ind w:right="13"/>
        <w:jc w:val="both"/>
        <w:rPr>
          <w:rFonts w:ascii="Book Antiqua" w:hAnsi="Book Antiqua"/>
          <w:b/>
          <w:bCs/>
        </w:rPr>
      </w:pPr>
      <w:r w:rsidRPr="0014767F">
        <w:rPr>
          <w:rFonts w:ascii="Book Antiqua" w:hAnsi="Book Antiqua"/>
          <w:b/>
          <w:bCs/>
        </w:rPr>
        <w:lastRenderedPageBreak/>
        <w:t>2. Teori Kesalahan (</w:t>
      </w:r>
      <w:r w:rsidRPr="0014767F">
        <w:rPr>
          <w:rFonts w:ascii="Book Antiqua" w:hAnsi="Book Antiqua"/>
          <w:b/>
          <w:bCs/>
          <w:i/>
          <w:iCs/>
        </w:rPr>
        <w:t>Mens Rea</w:t>
      </w:r>
      <w:r w:rsidRPr="0014767F">
        <w:rPr>
          <w:rFonts w:ascii="Book Antiqua" w:hAnsi="Book Antiqua"/>
          <w:b/>
          <w:bCs/>
        </w:rPr>
        <w:t>) dan Relevansinya</w:t>
      </w:r>
    </w:p>
    <w:p w14:paraId="7F73CB77" w14:textId="0E2220EE" w:rsidR="0014767F" w:rsidRPr="0014767F" w:rsidRDefault="0014767F" w:rsidP="0014767F">
      <w:pPr>
        <w:pStyle w:val="BodyText"/>
        <w:spacing w:line="254" w:lineRule="auto"/>
        <w:ind w:left="140" w:right="13" w:firstLine="427"/>
        <w:jc w:val="both"/>
        <w:rPr>
          <w:rFonts w:ascii="Book Antiqua" w:hAnsi="Book Antiqua"/>
        </w:rPr>
      </w:pPr>
      <w:r w:rsidRPr="0014767F">
        <w:rPr>
          <w:rFonts w:ascii="Book Antiqua" w:hAnsi="Book Antiqua"/>
        </w:rPr>
        <w:t>Teori kesalahan (</w:t>
      </w:r>
      <w:r w:rsidRPr="0014767F">
        <w:rPr>
          <w:rFonts w:ascii="Book Antiqua" w:hAnsi="Book Antiqua"/>
          <w:i/>
          <w:iCs/>
        </w:rPr>
        <w:t>mens rea</w:t>
      </w:r>
      <w:r w:rsidRPr="0014767F">
        <w:rPr>
          <w:rFonts w:ascii="Book Antiqua" w:hAnsi="Book Antiqua"/>
        </w:rPr>
        <w:t xml:space="preserve">) adalah syarat penting sebelum seseorang dipidana. </w:t>
      </w:r>
      <w:r w:rsidRPr="0014767F">
        <w:rPr>
          <w:rFonts w:ascii="Book Antiqua" w:hAnsi="Book Antiqua"/>
          <w:i/>
          <w:iCs/>
        </w:rPr>
        <w:t xml:space="preserve">Mens rea </w:t>
      </w:r>
      <w:r w:rsidRPr="0014767F">
        <w:rPr>
          <w:rFonts w:ascii="Book Antiqua" w:hAnsi="Book Antiqua"/>
        </w:rPr>
        <w:t>adalah unsur psikologis berupa niat buruk, sikap batin pelaku kejahatan. Orang tanpa niat atau kesalahan tak bisa dipidana meski tindakannya melanggar hukum, berdasarkan prinsip tiada pidana tanpa kesalahan.</w:t>
      </w:r>
    </w:p>
    <w:p w14:paraId="09EF5826" w14:textId="3B0687C1" w:rsidR="0014767F" w:rsidRPr="0014767F" w:rsidRDefault="0014767F" w:rsidP="0014767F">
      <w:pPr>
        <w:pStyle w:val="BodyText"/>
        <w:spacing w:line="254" w:lineRule="auto"/>
        <w:ind w:left="140" w:right="13" w:firstLine="427"/>
        <w:jc w:val="both"/>
        <w:rPr>
          <w:rFonts w:ascii="Book Antiqua" w:hAnsi="Book Antiqua"/>
        </w:rPr>
      </w:pPr>
      <w:r w:rsidRPr="0014767F">
        <w:rPr>
          <w:rFonts w:ascii="Book Antiqua" w:hAnsi="Book Antiqua"/>
          <w:i/>
          <w:iCs/>
        </w:rPr>
        <w:t xml:space="preserve">Dolus </w:t>
      </w:r>
      <w:r w:rsidRPr="0014767F">
        <w:rPr>
          <w:rFonts w:ascii="Book Antiqua" w:hAnsi="Book Antiqua"/>
        </w:rPr>
        <w:t xml:space="preserve">adalah niat atau kehendak melakukan tindakan melawan hukum. </w:t>
      </w:r>
      <w:r w:rsidRPr="0014767F">
        <w:rPr>
          <w:rFonts w:ascii="Book Antiqua" w:hAnsi="Book Antiqua"/>
          <w:i/>
          <w:iCs/>
        </w:rPr>
        <w:t>Culpa</w:t>
      </w:r>
      <w:r w:rsidRPr="0014767F">
        <w:rPr>
          <w:rFonts w:ascii="Book Antiqua" w:hAnsi="Book Antiqua"/>
        </w:rPr>
        <w:t xml:space="preserve"> adalah kelalaian atau kurang hati-hati yang berujung pada kerugian. </w:t>
      </w:r>
      <w:r w:rsidRPr="0014767F">
        <w:rPr>
          <w:rFonts w:ascii="Book Antiqua" w:hAnsi="Book Antiqua"/>
          <w:i/>
          <w:iCs/>
        </w:rPr>
        <w:t>Dolus</w:t>
      </w:r>
      <w:r w:rsidRPr="0014767F">
        <w:rPr>
          <w:rFonts w:ascii="Book Antiqua" w:hAnsi="Book Antiqua"/>
        </w:rPr>
        <w:t xml:space="preserve"> dan </w:t>
      </w:r>
      <w:r w:rsidRPr="0014767F">
        <w:rPr>
          <w:rFonts w:ascii="Book Antiqua" w:hAnsi="Book Antiqua"/>
          <w:i/>
          <w:iCs/>
        </w:rPr>
        <w:t>culpa</w:t>
      </w:r>
      <w:r w:rsidRPr="0014767F">
        <w:rPr>
          <w:rFonts w:ascii="Book Antiqua" w:hAnsi="Book Antiqua"/>
        </w:rPr>
        <w:t xml:space="preserve"> bagian dari </w:t>
      </w:r>
      <w:r w:rsidRPr="00BD6045">
        <w:rPr>
          <w:rFonts w:ascii="Book Antiqua" w:hAnsi="Book Antiqua"/>
          <w:i/>
          <w:iCs/>
        </w:rPr>
        <w:t>mens rea</w:t>
      </w:r>
      <w:r w:rsidRPr="0014767F">
        <w:rPr>
          <w:rFonts w:ascii="Book Antiqua" w:hAnsi="Book Antiqua"/>
        </w:rPr>
        <w:t>, sikap batin pelaku. Tanggung jawab hukum tak hanya ditentukan oleh tindakan, tapi juga kondisi mental pelaku. Unsur kesalahan dilihat dari perbuatan dan sikap batin pelaku, melalui kesengajaan (</w:t>
      </w:r>
      <w:r w:rsidRPr="0014767F">
        <w:rPr>
          <w:rFonts w:ascii="Book Antiqua" w:hAnsi="Book Antiqua"/>
          <w:i/>
          <w:iCs/>
        </w:rPr>
        <w:t>dolus</w:t>
      </w:r>
      <w:r w:rsidRPr="0014767F">
        <w:rPr>
          <w:rFonts w:ascii="Book Antiqua" w:hAnsi="Book Antiqua"/>
        </w:rPr>
        <w:t>) atau kelalaian (</w:t>
      </w:r>
      <w:r w:rsidRPr="0014767F">
        <w:rPr>
          <w:rFonts w:ascii="Book Antiqua" w:hAnsi="Book Antiqua"/>
          <w:i/>
          <w:iCs/>
        </w:rPr>
        <w:t>culpa</w:t>
      </w:r>
      <w:r w:rsidRPr="0014767F">
        <w:rPr>
          <w:rFonts w:ascii="Book Antiqua" w:hAnsi="Book Antiqua"/>
        </w:rPr>
        <w:t xml:space="preserve">). </w:t>
      </w:r>
      <w:r w:rsidRPr="0014767F">
        <w:rPr>
          <w:rFonts w:ascii="Book Antiqua" w:hAnsi="Book Antiqua"/>
          <w:i/>
          <w:iCs/>
        </w:rPr>
        <w:t>Dolus</w:t>
      </w:r>
      <w:r w:rsidRPr="0014767F">
        <w:rPr>
          <w:rFonts w:ascii="Book Antiqua" w:hAnsi="Book Antiqua"/>
        </w:rPr>
        <w:t xml:space="preserve"> biasanya kena sanksi lebih berat.</w:t>
      </w:r>
    </w:p>
    <w:p w14:paraId="6349DE2C" w14:textId="42528847" w:rsidR="0014767F" w:rsidRPr="00B22C7F" w:rsidRDefault="0014767F" w:rsidP="0014767F">
      <w:pPr>
        <w:pStyle w:val="BodyText"/>
        <w:spacing w:line="254" w:lineRule="auto"/>
        <w:ind w:left="140" w:right="13" w:firstLine="427"/>
        <w:jc w:val="both"/>
        <w:rPr>
          <w:rFonts w:ascii="Book Antiqua" w:hAnsi="Book Antiqua"/>
          <w:lang w:val="en-US"/>
        </w:rPr>
      </w:pPr>
      <w:r w:rsidRPr="0014767F">
        <w:rPr>
          <w:rFonts w:ascii="Book Antiqua" w:hAnsi="Book Antiqua"/>
        </w:rPr>
        <w:t>Dalam kasus kelalaian, pelaku tak bermaksud menimbulkan dampak merugikan, tapi dampak terjadi karena kurang hati-hati. Meski tanpa kesengajaan, kelalaian bisa jadi dasar pertanggungjawaban pidana jika menimbulkan kerugian. Teori kesalahan juga menekankan pertimbangan kemampuan pelaku memahami dan mengendalikan perbuatannya. Seseorang hanya bisa dipidana jika punya kemampuan mental memahami akibat tindakannya.</w:t>
      </w:r>
      <w:r w:rsidR="00795AFF" w:rsidRPr="00795AFF">
        <w:rPr>
          <w:rFonts w:ascii="Book Antiqua" w:hAnsi="Book Antiqua"/>
        </w:rPr>
        <w:t xml:space="preserve"> </w:t>
      </w:r>
      <w:r w:rsidR="00B22C7F" w:rsidRPr="00541071">
        <w:rPr>
          <w:rFonts w:ascii="Times New Roman" w:hAnsi="Times New Roman" w:cs="Times New Roman"/>
          <w:w w:val="105"/>
        </w:rPr>
        <w:t>⁹</w:t>
      </w:r>
    </w:p>
    <w:p w14:paraId="7CF9017D" w14:textId="313BB781" w:rsidR="00FD5DE4" w:rsidRPr="00FD5DE4" w:rsidRDefault="00FD5DE4" w:rsidP="00FD5DE4">
      <w:pPr>
        <w:pStyle w:val="BodyText"/>
        <w:spacing w:line="254" w:lineRule="auto"/>
        <w:ind w:left="140" w:right="13" w:firstLine="427"/>
        <w:jc w:val="both"/>
        <w:rPr>
          <w:rFonts w:ascii="Book Antiqua" w:hAnsi="Book Antiqua"/>
          <w:b/>
          <w:bCs/>
        </w:rPr>
      </w:pPr>
      <w:r w:rsidRPr="00FD5DE4">
        <w:rPr>
          <w:rFonts w:ascii="Book Antiqua" w:hAnsi="Book Antiqua"/>
          <w:b/>
          <w:bCs/>
        </w:rPr>
        <w:t xml:space="preserve">3. Penerapan </w:t>
      </w:r>
      <w:r w:rsidRPr="00FD5DE4">
        <w:rPr>
          <w:rFonts w:ascii="Book Antiqua" w:hAnsi="Book Antiqua"/>
          <w:b/>
          <w:bCs/>
          <w:i/>
          <w:iCs/>
        </w:rPr>
        <w:t>Strict Liability</w:t>
      </w:r>
      <w:r w:rsidRPr="00FD5DE4">
        <w:rPr>
          <w:rFonts w:ascii="Book Antiqua" w:hAnsi="Book Antiqua"/>
          <w:b/>
          <w:bCs/>
        </w:rPr>
        <w:t xml:space="preserve"> dalam Undang-Undang Narkotika</w:t>
      </w:r>
    </w:p>
    <w:p w14:paraId="60AEC524" w14:textId="1F29BD8E" w:rsidR="00FD5DE4" w:rsidRPr="00795AFF" w:rsidRDefault="00FD5DE4" w:rsidP="00FD5DE4">
      <w:pPr>
        <w:pStyle w:val="BodyText"/>
        <w:spacing w:line="254" w:lineRule="auto"/>
        <w:ind w:left="140" w:right="13" w:firstLine="427"/>
        <w:jc w:val="both"/>
        <w:rPr>
          <w:rFonts w:ascii="Book Antiqua" w:hAnsi="Book Antiqua"/>
          <w:lang w:val="en-US"/>
        </w:rPr>
      </w:pPr>
      <w:r w:rsidRPr="00FD5DE4">
        <w:rPr>
          <w:rFonts w:ascii="Book Antiqua" w:hAnsi="Book Antiqua"/>
        </w:rPr>
        <w:t xml:space="preserve">Ada konflik dasar antara prinsip </w:t>
      </w:r>
      <w:r w:rsidRPr="00FD5DE4">
        <w:rPr>
          <w:rFonts w:ascii="Book Antiqua" w:hAnsi="Book Antiqua"/>
          <w:i/>
          <w:iCs/>
        </w:rPr>
        <w:t>geen straf zonder schuld</w:t>
      </w:r>
      <w:r w:rsidRPr="00FD5DE4">
        <w:rPr>
          <w:rFonts w:ascii="Book Antiqua" w:hAnsi="Book Antiqua"/>
        </w:rPr>
        <w:t xml:space="preserve"> dengan kebutuhan menegakkan hukum narkotika secara preventif dan ketat. Asas tiada pidana tanpa kesalahan menegaskan seseorang tak boleh dipidana jika tak melakukan kesalahan hukum atau moral. Hukuman hanya bisa diberikan jika ada tindakan melanggar hukum dan niat bersalah (</w:t>
      </w:r>
      <w:r w:rsidRPr="00FD5DE4">
        <w:rPr>
          <w:rFonts w:ascii="Book Antiqua" w:hAnsi="Book Antiqua"/>
          <w:i/>
          <w:iCs/>
        </w:rPr>
        <w:t>mens rea</w:t>
      </w:r>
      <w:r w:rsidRPr="00FD5DE4">
        <w:rPr>
          <w:rFonts w:ascii="Book Antiqua" w:hAnsi="Book Antiqua"/>
        </w:rPr>
        <w:t>). Tanpa ini, hukum pidana kehilangan keadilan karena orang bisa dipidana hanya karena hasil tindakannya.</w:t>
      </w:r>
      <w:r w:rsidR="00B22C7F" w:rsidRPr="00B22C7F">
        <w:rPr>
          <w:rFonts w:ascii="Book Antiqua" w:hAnsi="Book Antiqua"/>
        </w:rPr>
        <w:t xml:space="preserve"> </w:t>
      </w:r>
      <w:r w:rsidR="00B22C7F" w:rsidRPr="00DB0240">
        <w:rPr>
          <w:rFonts w:ascii="Book Antiqua" w:hAnsi="Book Antiqua"/>
        </w:rPr>
        <w:t>¹</w:t>
      </w:r>
      <w:r w:rsidR="00B22C7F" w:rsidRPr="00DB0240">
        <w:rPr>
          <w:rFonts w:ascii="Times New Roman" w:hAnsi="Times New Roman" w:cs="Times New Roman"/>
        </w:rPr>
        <w:t>⁰</w:t>
      </w:r>
    </w:p>
    <w:p w14:paraId="1493DAAE" w14:textId="17207BA9" w:rsidR="00FD5DE4" w:rsidRPr="00795AFF" w:rsidRDefault="00FD5DE4" w:rsidP="006A3F5D">
      <w:pPr>
        <w:pStyle w:val="BodyText"/>
        <w:spacing w:line="254" w:lineRule="auto"/>
        <w:ind w:left="140" w:right="13" w:firstLine="427"/>
        <w:jc w:val="both"/>
        <w:rPr>
          <w:rFonts w:ascii="Book Antiqua" w:hAnsi="Book Antiqua"/>
          <w:lang w:val="en-US"/>
        </w:rPr>
      </w:pPr>
      <w:r w:rsidRPr="00FD5DE4">
        <w:rPr>
          <w:rFonts w:ascii="Book Antiqua" w:hAnsi="Book Antiqua"/>
        </w:rPr>
        <w:t xml:space="preserve">Sebaliknya, penegakan hukum narkotika di Indonesia fokus pada pencegahan dan pemberantasan peredaran narkotika dengan hukuman ketat. UU Nomor 35 Tahun 2009 mengandung prinsip </w:t>
      </w:r>
      <w:r w:rsidRPr="006A3F5D">
        <w:rPr>
          <w:rFonts w:ascii="Book Antiqua" w:hAnsi="Book Antiqua"/>
          <w:i/>
          <w:iCs/>
        </w:rPr>
        <w:t>strict liability</w:t>
      </w:r>
      <w:r w:rsidRPr="00FD5DE4">
        <w:rPr>
          <w:rFonts w:ascii="Book Antiqua" w:hAnsi="Book Antiqua"/>
        </w:rPr>
        <w:t xml:space="preserve">, seseorang dianggap bertanggung jawab tanpa perlu </w:t>
      </w:r>
      <w:r w:rsidRPr="00002BC8">
        <w:rPr>
          <w:rFonts w:ascii="Book Antiqua" w:hAnsi="Book Antiqua"/>
        </w:rPr>
        <w:t>dibuktikan kesalahan. Ini memungkinkan penuntutan tanpa pembuktian unsur kesalahan secara rinci, efektif untuk pencegahan tapi berpotensi mengabaikan keadilan individu.¹</w:t>
      </w:r>
      <w:r w:rsidR="00B22C7F" w:rsidRPr="00DB0240">
        <w:rPr>
          <w:rFonts w:ascii="Book Antiqua" w:hAnsi="Book Antiqua"/>
        </w:rPr>
        <w:t>¹</w:t>
      </w:r>
    </w:p>
    <w:p w14:paraId="56137EA3" w14:textId="0B60DFA6" w:rsidR="00795AFF" w:rsidRDefault="00FD5DE4" w:rsidP="00795AFF">
      <w:pPr>
        <w:pStyle w:val="BodyText"/>
        <w:spacing w:before="23" w:line="271" w:lineRule="auto"/>
        <w:ind w:left="140" w:right="12" w:firstLine="427"/>
        <w:jc w:val="both"/>
        <w:rPr>
          <w:rFonts w:ascii="Book Antiqua" w:hAnsi="Book Antiqua"/>
          <w:w w:val="105"/>
          <w:lang w:val="en-US"/>
        </w:rPr>
      </w:pPr>
      <w:r w:rsidRPr="00002BC8">
        <w:rPr>
          <w:rFonts w:ascii="Book Antiqua" w:hAnsi="Book Antiqua"/>
        </w:rPr>
        <w:t>Tegangan ini terlihat dalam Pasal 112 UU Narkotika tentang memiliki, menyimpan, dan/atau menguasai narkotika. Penelitian menunjukkan penentuan kesalahan dilakukan dengan membuktikan unsur pertanggungjawaban pidana, apakah sengaja atau lalai. Namun dalam praktik, sebagian besar jaksa dan hakim tidak membuktikan unsur pertanggungjawaban pidana secara merata. Untuk menyeimbangkan, hakim dan penyidik menerapkan berbagai mekanisme</w:t>
      </w:r>
      <w:r w:rsidR="008D3185">
        <w:rPr>
          <w:rFonts w:ascii="Book Antiqua" w:hAnsi="Book Antiqua"/>
          <w:lang w:val="en-US"/>
        </w:rPr>
        <w:t xml:space="preserve"> yakni</w:t>
      </w:r>
      <w:r w:rsidRPr="00002BC8">
        <w:rPr>
          <w:rFonts w:ascii="Book Antiqua" w:hAnsi="Book Antiqua"/>
        </w:rPr>
        <w:t xml:space="preserve"> mengevaluasi apakah akibat berasal dari kelalaian atau pengabaian kewajiban, memperhatikan sikap batin/niat pelaku, menggunakan Pasal 191 ayat (2) KUHAP untuk putusan lepas dari tuntutan jika tak ada kesalahan, dan menerapkan prinsip proporsionalitas.</w:t>
      </w:r>
      <w:r w:rsidR="00B22C7F" w:rsidRPr="00B22C7F">
        <w:rPr>
          <w:rFonts w:ascii="Book Antiqua" w:hAnsi="Book Antiqua"/>
        </w:rPr>
        <w:t xml:space="preserve"> </w:t>
      </w:r>
      <w:r w:rsidR="00B22C7F" w:rsidRPr="00DB0240">
        <w:rPr>
          <w:rFonts w:ascii="Book Antiqua" w:hAnsi="Book Antiqua"/>
        </w:rPr>
        <w:t>¹</w:t>
      </w:r>
      <w:r w:rsidR="00B22C7F" w:rsidRPr="009A4CEE">
        <w:rPr>
          <w:rFonts w:ascii="Book Antiqua" w:hAnsi="Book Antiqua"/>
          <w:w w:val="105"/>
          <w:lang w:val="en-US"/>
        </w:rPr>
        <w:t>²</w:t>
      </w:r>
    </w:p>
    <w:p w14:paraId="229B752A" w14:textId="44EE1E23" w:rsidR="00FD5DE4" w:rsidRDefault="00FD5DE4" w:rsidP="00FD5DE4">
      <w:pPr>
        <w:pStyle w:val="BodyText"/>
        <w:spacing w:line="254" w:lineRule="auto"/>
        <w:ind w:left="140" w:right="13" w:firstLine="427"/>
        <w:jc w:val="both"/>
        <w:rPr>
          <w:rFonts w:ascii="Times New Roman" w:hAnsi="Times New Roman" w:cs="Times New Roman"/>
        </w:rPr>
      </w:pPr>
    </w:p>
    <w:p w14:paraId="619CC611" w14:textId="77777777" w:rsidR="00DB0240" w:rsidRDefault="00DB0240" w:rsidP="00FD5DE4">
      <w:pPr>
        <w:pStyle w:val="BodyText"/>
        <w:spacing w:line="254" w:lineRule="auto"/>
        <w:ind w:left="140" w:right="13" w:firstLine="427"/>
        <w:jc w:val="both"/>
        <w:rPr>
          <w:rFonts w:ascii="Times New Roman" w:hAnsi="Times New Roman" w:cs="Times New Roman"/>
        </w:rPr>
      </w:pPr>
    </w:p>
    <w:p w14:paraId="31D3DB07" w14:textId="6F35FCEB" w:rsidR="00DB0240" w:rsidRPr="00002BC8" w:rsidRDefault="00DB0240" w:rsidP="00FD5DE4">
      <w:pPr>
        <w:pStyle w:val="BodyText"/>
        <w:spacing w:line="254" w:lineRule="auto"/>
        <w:ind w:left="140" w:right="13" w:firstLine="427"/>
        <w:jc w:val="both"/>
        <w:rPr>
          <w:rFonts w:ascii="Book Antiqua" w:hAnsi="Book Antiqua" w:cs="Times New Roman"/>
        </w:rPr>
      </w:pPr>
      <w:r>
        <w:rPr>
          <w:rFonts w:ascii="Book Antiqua" w:hAnsi="Book Antiqua"/>
          <w:noProof/>
          <w:lang w:val="en-US"/>
        </w:rPr>
        <mc:AlternateContent>
          <mc:Choice Requires="wps">
            <w:drawing>
              <wp:anchor distT="0" distB="0" distL="114300" distR="114300" simplePos="0" relativeHeight="251665408" behindDoc="0" locked="0" layoutInCell="1" allowOverlap="1" wp14:anchorId="0534BF75" wp14:editId="44732265">
                <wp:simplePos x="0" y="0"/>
                <wp:positionH relativeFrom="column">
                  <wp:posOffset>63374</wp:posOffset>
                </wp:positionH>
                <wp:positionV relativeFrom="paragraph">
                  <wp:posOffset>85373</wp:posOffset>
                </wp:positionV>
                <wp:extent cx="257670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BB133"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6.7pt" to="207.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" strokecolor="black [3040]"/>
            </w:pict>
          </mc:Fallback>
        </mc:AlternateContent>
      </w:r>
    </w:p>
    <w:p w14:paraId="240202C4" w14:textId="5CF93B48" w:rsidR="00DB0240" w:rsidRPr="00DB0240" w:rsidRDefault="00B22C7F" w:rsidP="00DB0240">
      <w:pPr>
        <w:pStyle w:val="BodyText"/>
        <w:spacing w:line="254" w:lineRule="auto"/>
        <w:ind w:left="0" w:right="13"/>
        <w:jc w:val="both"/>
        <w:rPr>
          <w:rFonts w:ascii="Book Antiqua" w:hAnsi="Book Antiqua"/>
        </w:rPr>
      </w:pPr>
      <w:r w:rsidRPr="00541071">
        <w:rPr>
          <w:rFonts w:ascii="Times New Roman" w:hAnsi="Times New Roman" w:cs="Times New Roman"/>
          <w:w w:val="105"/>
        </w:rPr>
        <w:t>⁹</w:t>
      </w:r>
      <w:r w:rsidR="00DB0240" w:rsidRPr="00DB0240">
        <w:rPr>
          <w:rFonts w:ascii="Book Antiqua" w:hAnsi="Book Antiqua"/>
        </w:rPr>
        <w:t xml:space="preserve"> Nano, Sahay, and Pramita, "</w:t>
      </w:r>
      <w:r w:rsidR="00DB0240" w:rsidRPr="00F055DD">
        <w:rPr>
          <w:rFonts w:ascii="Book Antiqua" w:hAnsi="Book Antiqua"/>
          <w:i/>
          <w:iCs/>
        </w:rPr>
        <w:t>Analisis Teoritis Dolus Dan Culpa</w:t>
      </w:r>
      <w:r w:rsidR="00DB0240" w:rsidRPr="00DB0240">
        <w:rPr>
          <w:rFonts w:ascii="Book Antiqua" w:hAnsi="Book Antiqua"/>
        </w:rPr>
        <w:t>," 6246</w:t>
      </w:r>
      <w:r w:rsidR="00795AFF">
        <w:rPr>
          <w:rFonts w:ascii="Book Antiqua" w:hAnsi="Book Antiqua"/>
          <w:lang w:val="en-US"/>
        </w:rPr>
        <w:t xml:space="preserve"> - 6249</w:t>
      </w:r>
      <w:r w:rsidR="00DB0240" w:rsidRPr="00DB0240">
        <w:rPr>
          <w:rFonts w:ascii="Book Antiqua" w:hAnsi="Book Antiqua"/>
        </w:rPr>
        <w:t>.</w:t>
      </w:r>
    </w:p>
    <w:p w14:paraId="48EE949A" w14:textId="10F85627" w:rsidR="00DB0240" w:rsidRPr="00B22C7F" w:rsidRDefault="00B22C7F" w:rsidP="00B22C7F">
      <w:pPr>
        <w:pStyle w:val="BodyText"/>
        <w:spacing w:line="254" w:lineRule="auto"/>
        <w:ind w:left="-426" w:right="13" w:firstLine="427"/>
        <w:jc w:val="both"/>
        <w:rPr>
          <w:rFonts w:ascii="Book Antiqua" w:hAnsi="Book Antiqua"/>
          <w:lang w:val="en-US"/>
        </w:rPr>
      </w:pPr>
      <w:r w:rsidRPr="00DB0240">
        <w:rPr>
          <w:rFonts w:ascii="Book Antiqua" w:hAnsi="Book Antiqua"/>
        </w:rPr>
        <w:t>¹</w:t>
      </w:r>
      <w:r w:rsidRPr="00DB0240">
        <w:rPr>
          <w:rFonts w:ascii="Times New Roman" w:hAnsi="Times New Roman" w:cs="Times New Roman"/>
        </w:rPr>
        <w:t>⁰</w:t>
      </w:r>
      <w:r w:rsidR="00DB0240" w:rsidRPr="00DB0240">
        <w:rPr>
          <w:rFonts w:ascii="Book Antiqua" w:hAnsi="Book Antiqua"/>
        </w:rPr>
        <w:t xml:space="preserve"> Hapid, Suntana, and Royani, "</w:t>
      </w:r>
      <w:r w:rsidR="00DB0240" w:rsidRPr="00F055DD">
        <w:rPr>
          <w:rFonts w:ascii="Book Antiqua" w:hAnsi="Book Antiqua"/>
          <w:i/>
          <w:iCs/>
        </w:rPr>
        <w:t>Penerapan Asas Geen Straf Zonder Schuld</w:t>
      </w:r>
      <w:r w:rsidR="00DB0240" w:rsidRPr="00DB0240">
        <w:rPr>
          <w:rFonts w:ascii="Book Antiqua" w:hAnsi="Book Antiqua"/>
        </w:rPr>
        <w:t>," 5.</w:t>
      </w:r>
    </w:p>
    <w:p w14:paraId="1E3026E0" w14:textId="29A6F5B3" w:rsidR="00DB0240" w:rsidRPr="00DB0240" w:rsidRDefault="00566ECA" w:rsidP="00DB0240">
      <w:pPr>
        <w:pStyle w:val="BodyText"/>
        <w:spacing w:line="254" w:lineRule="auto"/>
        <w:ind w:left="0" w:right="13"/>
        <w:jc w:val="both"/>
        <w:rPr>
          <w:rFonts w:ascii="Book Antiqua" w:hAnsi="Book Antiqua"/>
        </w:rPr>
      </w:pPr>
      <w:r w:rsidRPr="00002BC8">
        <w:rPr>
          <w:rFonts w:ascii="Book Antiqua" w:hAnsi="Book Antiqua"/>
        </w:rPr>
        <w:t>¹</w:t>
      </w:r>
      <w:r w:rsidRPr="00DB0240">
        <w:rPr>
          <w:rFonts w:ascii="Book Antiqua" w:hAnsi="Book Antiqua"/>
        </w:rPr>
        <w:t>¹</w:t>
      </w:r>
      <w:r w:rsidR="00DB0240" w:rsidRPr="00DB0240">
        <w:rPr>
          <w:rFonts w:ascii="Book Antiqua" w:hAnsi="Book Antiqua"/>
        </w:rPr>
        <w:t xml:space="preserve"> Suud, "</w:t>
      </w:r>
      <w:r w:rsidR="00DB0240" w:rsidRPr="00F055DD">
        <w:rPr>
          <w:rFonts w:ascii="Book Antiqua" w:hAnsi="Book Antiqua"/>
          <w:i/>
          <w:iCs/>
        </w:rPr>
        <w:t>Analisis Penerapan Konsep Pertanggungjawaban Mutlak</w:t>
      </w:r>
      <w:r w:rsidR="00DB0240" w:rsidRPr="00DB0240">
        <w:rPr>
          <w:rFonts w:ascii="Book Antiqua" w:hAnsi="Book Antiqua"/>
        </w:rPr>
        <w:t>," 155.</w:t>
      </w:r>
    </w:p>
    <w:p w14:paraId="37C07640" w14:textId="6FB83FDD" w:rsidR="00DB0240" w:rsidRDefault="00DB0240" w:rsidP="00DB0240">
      <w:pPr>
        <w:pStyle w:val="BodyText"/>
        <w:spacing w:line="254" w:lineRule="auto"/>
        <w:ind w:left="0" w:right="13"/>
        <w:jc w:val="both"/>
        <w:rPr>
          <w:rFonts w:ascii="Book Antiqua" w:hAnsi="Book Antiqua"/>
        </w:rPr>
      </w:pPr>
      <w:r w:rsidRPr="00DB0240">
        <w:rPr>
          <w:rFonts w:ascii="Book Antiqua" w:hAnsi="Book Antiqua"/>
        </w:rPr>
        <w:t>¹</w:t>
      </w:r>
      <w:r w:rsidR="00566ECA" w:rsidRPr="009A4CEE">
        <w:rPr>
          <w:rFonts w:ascii="Book Antiqua" w:hAnsi="Book Antiqua"/>
          <w:w w:val="105"/>
          <w:lang w:val="en-US"/>
        </w:rPr>
        <w:t>²</w:t>
      </w:r>
      <w:r w:rsidR="00795AFF">
        <w:rPr>
          <w:rFonts w:ascii="Book Antiqua" w:hAnsi="Book Antiqua"/>
          <w:lang w:val="en-US"/>
        </w:rPr>
        <w:t xml:space="preserve"> </w:t>
      </w:r>
      <w:r w:rsidRPr="00DB0240">
        <w:rPr>
          <w:rFonts w:ascii="Book Antiqua" w:hAnsi="Book Antiqua"/>
        </w:rPr>
        <w:t>Hasil wawancara dengan penyidik Satresnarkoba Polres Blitar Kota, 30 November</w:t>
      </w:r>
      <w:r w:rsidR="00795AFF">
        <w:rPr>
          <w:rFonts w:ascii="Book Antiqua" w:hAnsi="Book Antiqua"/>
          <w:lang w:val="en-US"/>
        </w:rPr>
        <w:t xml:space="preserve"> </w:t>
      </w:r>
      <w:r w:rsidRPr="00DB0240">
        <w:rPr>
          <w:rFonts w:ascii="Book Antiqua" w:hAnsi="Book Antiqua"/>
        </w:rPr>
        <w:t>2025.</w:t>
      </w:r>
    </w:p>
    <w:p w14:paraId="4B7A97F9" w14:textId="77777777" w:rsidR="00566ECA" w:rsidRPr="00DB0240" w:rsidRDefault="00566ECA" w:rsidP="00DB0240">
      <w:pPr>
        <w:pStyle w:val="BodyText"/>
        <w:spacing w:line="254" w:lineRule="auto"/>
        <w:ind w:left="0" w:right="13"/>
        <w:jc w:val="both"/>
        <w:rPr>
          <w:rFonts w:ascii="Book Antiqua" w:hAnsi="Book Antiqua"/>
        </w:rPr>
      </w:pPr>
    </w:p>
    <w:p w14:paraId="5F464FF7" w14:textId="76797E20" w:rsidR="00EF2A91" w:rsidRPr="00EF2A91" w:rsidRDefault="00EF2A91" w:rsidP="00EF2A91">
      <w:pPr>
        <w:pStyle w:val="BodyText"/>
        <w:spacing w:line="254" w:lineRule="auto"/>
        <w:ind w:left="140" w:right="13" w:firstLine="427"/>
        <w:jc w:val="both"/>
        <w:rPr>
          <w:rFonts w:ascii="Book Antiqua" w:hAnsi="Book Antiqua"/>
          <w:b/>
          <w:bCs/>
        </w:rPr>
      </w:pPr>
      <w:r w:rsidRPr="00EF2A91">
        <w:rPr>
          <w:rFonts w:ascii="Book Antiqua" w:hAnsi="Book Antiqua"/>
          <w:b/>
          <w:bCs/>
        </w:rPr>
        <w:t>4. Putusan Pengadilan dalam Kasus Saiful Anwar</w:t>
      </w:r>
    </w:p>
    <w:p w14:paraId="0E499809" w14:textId="7D86C8E7" w:rsidR="00EF2A91" w:rsidRPr="00D46734" w:rsidRDefault="00EF2A91" w:rsidP="00EF2A91">
      <w:pPr>
        <w:pStyle w:val="BodyText"/>
        <w:spacing w:line="254" w:lineRule="auto"/>
        <w:ind w:left="140" w:right="13" w:firstLine="427"/>
        <w:jc w:val="both"/>
        <w:rPr>
          <w:rFonts w:ascii="Book Antiqua" w:hAnsi="Book Antiqua"/>
          <w:lang w:val="en-US"/>
        </w:rPr>
      </w:pPr>
      <w:r w:rsidRPr="00002BC8">
        <w:rPr>
          <w:rFonts w:ascii="Book Antiqua" w:hAnsi="Book Antiqua"/>
        </w:rPr>
        <w:t>Putusan Pengadilan Negeri Blitar Nomor 418/Pid.Sus/2025/PN Blt menyatakan Saiful Anwar alias Ipil Bin (alm) Imam Sutombo terbukti bersalah melakukan "menanam, memelihara, memiliki, menyimpan, menguasai, atau menyediakan Narkotika Golongan I dalam bentuk tanaman, beratnya melebihi 5 (lima) batang pohon" sesuai Pasal 111 ayat (2) UU No. 35 Tahun 2009. Majelis Hakim menjatuhkan pidana penjara 9 tahun dan denda Rp1.000.000.000,00 (satu miliar) dengan subsider 150 hari penjara jika denda tak dibayar.¹</w:t>
      </w:r>
      <w:r w:rsidR="00D46734" w:rsidRPr="009A4CEE">
        <w:rPr>
          <w:rFonts w:ascii="Book Antiqua" w:hAnsi="Book Antiqua"/>
          <w:w w:val="105"/>
          <w:lang w:val="en-US"/>
        </w:rPr>
        <w:t>³</w:t>
      </w:r>
    </w:p>
    <w:p w14:paraId="7D25815C" w14:textId="19270EBF" w:rsidR="00EF2A91" w:rsidRPr="00002BC8" w:rsidRDefault="00EF2A91" w:rsidP="00296D9D">
      <w:pPr>
        <w:pStyle w:val="BodyText"/>
        <w:spacing w:line="254" w:lineRule="auto"/>
        <w:ind w:left="140" w:right="13" w:firstLine="427"/>
        <w:jc w:val="both"/>
        <w:rPr>
          <w:rFonts w:ascii="Book Antiqua" w:hAnsi="Book Antiqua"/>
        </w:rPr>
      </w:pPr>
      <w:r w:rsidRPr="00002BC8">
        <w:rPr>
          <w:rFonts w:ascii="Book Antiqua" w:hAnsi="Book Antiqua"/>
        </w:rPr>
        <w:t xml:space="preserve">Fakta persidangan menunjukkan terdakwa menanam sendiri ganja di pekarangan belakang rumahnya. Bibit dari pembelian daun ganja kering pertengahan 2024, bijinya dipisah dan disemai. Ditanam dalam </w:t>
      </w:r>
      <w:r w:rsidRPr="00002BC8">
        <w:rPr>
          <w:rFonts w:ascii="Book Antiqua" w:hAnsi="Book Antiqua"/>
          <w:i/>
          <w:iCs/>
        </w:rPr>
        <w:t>polybag</w:t>
      </w:r>
      <w:r w:rsidRPr="00002BC8">
        <w:rPr>
          <w:rFonts w:ascii="Book Antiqua" w:hAnsi="Book Antiqua"/>
        </w:rPr>
        <w:t xml:space="preserve"> berisi tanah dan pupuk kompos, dirawat dengan penyiraman rutin. Terdakwa juga menjual daun ganja ke saksi Agam Andyka Putra alias Agam tiga kali.</w:t>
      </w:r>
    </w:p>
    <w:p w14:paraId="42869320" w14:textId="2E2DA121" w:rsidR="00EF2A91" w:rsidRPr="00002BC8" w:rsidRDefault="00EF2A91" w:rsidP="00EF2A91">
      <w:pPr>
        <w:pStyle w:val="BodyText"/>
        <w:spacing w:line="254" w:lineRule="auto"/>
        <w:ind w:left="140" w:right="13" w:firstLine="427"/>
        <w:jc w:val="both"/>
        <w:rPr>
          <w:rFonts w:ascii="Book Antiqua" w:hAnsi="Book Antiqua" w:cs="Times New Roman"/>
        </w:rPr>
      </w:pPr>
      <w:r w:rsidRPr="00002BC8">
        <w:rPr>
          <w:rFonts w:ascii="Book Antiqua" w:hAnsi="Book Antiqua"/>
        </w:rPr>
        <w:t>Majelis Hakim menyatakan unsur "setiap orang" terpenuhi. Unsur "tanpa hak atau melawan hukum menanam, memelihara, memiliki, menyimpan, menguasai, atau menyediakan Narkotika Golongan I dalam bentuk tanaman, beratnya melebihi 5 batang pohon" juga terpenuhi berdasarkan keterangan saksi, surat, keterangan terdakwa, dan barang bukti yang saling bersesuaian. Keadaan memberatkan</w:t>
      </w:r>
      <w:r w:rsidR="000502FB">
        <w:rPr>
          <w:rFonts w:ascii="Book Antiqua" w:hAnsi="Book Antiqua"/>
          <w:lang w:val="en-US"/>
        </w:rPr>
        <w:t xml:space="preserve"> </w:t>
      </w:r>
      <w:r w:rsidRPr="00002BC8">
        <w:rPr>
          <w:rFonts w:ascii="Book Antiqua" w:hAnsi="Book Antiqua"/>
        </w:rPr>
        <w:t>perbuatan meresahkan masyarakat dan mengancam generasi penerus, tidak mendukung program pemberantasan narkotika. Keadaan meringankan: belum pernah dihukum, kooperatif, mengakui perbuatan, dan menyesal.</w:t>
      </w:r>
      <w:r w:rsidR="00EF3135" w:rsidRPr="00EF3135">
        <w:rPr>
          <w:rFonts w:ascii="Book Antiqua" w:hAnsi="Book Antiqua"/>
        </w:rPr>
        <w:t xml:space="preserve"> </w:t>
      </w:r>
      <w:r w:rsidR="00D46734" w:rsidRPr="00002BC8">
        <w:rPr>
          <w:rFonts w:ascii="Book Antiqua" w:hAnsi="Book Antiqua"/>
        </w:rPr>
        <w:t>¹</w:t>
      </w:r>
      <w:r w:rsidR="00D46734" w:rsidRPr="009A4CEE">
        <w:rPr>
          <w:rFonts w:ascii="Times New Roman" w:hAnsi="Times New Roman" w:cs="Times New Roman"/>
          <w:spacing w:val="-12"/>
          <w:w w:val="105"/>
        </w:rPr>
        <w:t>⁴</w:t>
      </w:r>
    </w:p>
    <w:p w14:paraId="793935C0" w14:textId="0403689F" w:rsidR="004F7460" w:rsidRPr="002E35B8" w:rsidRDefault="004F7460" w:rsidP="002E35B8">
      <w:pPr>
        <w:pStyle w:val="BodyText"/>
        <w:spacing w:line="254" w:lineRule="auto"/>
        <w:ind w:left="140" w:right="13" w:firstLine="427"/>
        <w:jc w:val="both"/>
        <w:rPr>
          <w:rFonts w:ascii="Book Antiqua" w:hAnsi="Book Antiqua"/>
          <w:b/>
          <w:bCs/>
        </w:rPr>
      </w:pPr>
      <w:r w:rsidRPr="004F7460">
        <w:rPr>
          <w:rFonts w:ascii="Book Antiqua" w:hAnsi="Book Antiqua"/>
          <w:b/>
          <w:bCs/>
        </w:rPr>
        <w:t>5. Implikasi Yuridis bagi Pemilik Lahan</w:t>
      </w:r>
    </w:p>
    <w:p w14:paraId="20711E5B" w14:textId="24B29D0F" w:rsidR="004F7460" w:rsidRPr="0041634E" w:rsidRDefault="004F7460" w:rsidP="002E35B8">
      <w:pPr>
        <w:pStyle w:val="BodyText"/>
        <w:spacing w:line="254" w:lineRule="auto"/>
        <w:ind w:left="140" w:right="13" w:firstLine="427"/>
        <w:jc w:val="both"/>
        <w:rPr>
          <w:rFonts w:ascii="Book Antiqua" w:hAnsi="Book Antiqua"/>
        </w:rPr>
      </w:pPr>
      <w:r w:rsidRPr="0041634E">
        <w:rPr>
          <w:rFonts w:ascii="Book Antiqua" w:hAnsi="Book Antiqua"/>
        </w:rPr>
        <w:t>UU No. 35 Tahun 2009 tidak hanya menjerat pelaku langsung, tapi juga pihak yang memberi kontribusi, termasuk pemilik lahan. Jika pemilik tahu tanahnya dipakai untuk kegiatan narkotika tapi membiarkan, atau aktif menyediakan tanah, tindakannya bisa diklasifikasikan sebagai keikutsertaan, baik penyertaan (</w:t>
      </w:r>
      <w:r w:rsidRPr="0041634E">
        <w:rPr>
          <w:rFonts w:ascii="Book Antiqua" w:hAnsi="Book Antiqua"/>
          <w:i/>
          <w:iCs/>
        </w:rPr>
        <w:t>deelneming</w:t>
      </w:r>
      <w:r w:rsidRPr="0041634E">
        <w:rPr>
          <w:rFonts w:ascii="Book Antiqua" w:hAnsi="Book Antiqua"/>
        </w:rPr>
        <w:t>) maupun pemberi fasilitas.</w:t>
      </w:r>
    </w:p>
    <w:p w14:paraId="4585145C" w14:textId="25E10798" w:rsidR="004F7460" w:rsidRPr="0041634E" w:rsidRDefault="004F7460" w:rsidP="004F7460">
      <w:pPr>
        <w:pStyle w:val="BodyText"/>
        <w:spacing w:line="254" w:lineRule="auto"/>
        <w:ind w:left="140" w:right="13" w:firstLine="427"/>
        <w:jc w:val="both"/>
        <w:rPr>
          <w:rFonts w:ascii="Book Antiqua" w:hAnsi="Book Antiqua" w:cs="Times New Roman"/>
        </w:rPr>
      </w:pPr>
      <w:r w:rsidRPr="0041634E">
        <w:rPr>
          <w:rFonts w:ascii="Book Antiqua" w:hAnsi="Book Antiqua"/>
        </w:rPr>
        <w:t>Pasal 111 ayat (1) mengatur hukuman bagi siapa pun yang tanpa hak memiliki, menyimpan, menguasai, atau menyediakan Narkotika Golongan I, termasuk ganja. Sanksi berat: penjara minimal 4 tahun maksimal 15 tahun, denda minimal Rp800 juta maksimal Rp10 miliar. Ini menunjukkan komitmen pemerintah menangani narkotika serius, dan peringatan bahwa terlibat, termasuk menyediakan lahan, akan diadili sama pentingnya dengan pelaku utama.</w:t>
      </w:r>
      <w:r w:rsidR="00EF3135" w:rsidRPr="00EF3135">
        <w:rPr>
          <w:rFonts w:ascii="Book Antiqua" w:hAnsi="Book Antiqua"/>
          <w:bCs/>
        </w:rPr>
        <w:t xml:space="preserve"> </w:t>
      </w:r>
      <w:r w:rsidR="00D46734" w:rsidRPr="00002BC8">
        <w:rPr>
          <w:rFonts w:ascii="Book Antiqua" w:hAnsi="Book Antiqua"/>
        </w:rPr>
        <w:t>¹</w:t>
      </w:r>
      <w:r w:rsidR="00D46734" w:rsidRPr="009A4CEE">
        <w:rPr>
          <w:rFonts w:ascii="Times New Roman" w:hAnsi="Times New Roman" w:cs="Times New Roman"/>
          <w:spacing w:val="-12"/>
          <w:w w:val="105"/>
        </w:rPr>
        <w:t>⁵</w:t>
      </w:r>
    </w:p>
    <w:p w14:paraId="15C03A69" w14:textId="0A8D9E65" w:rsidR="00002BC8" w:rsidRDefault="00002BC8" w:rsidP="00B875E0">
      <w:pPr>
        <w:pStyle w:val="BodyText"/>
        <w:spacing w:line="254" w:lineRule="auto"/>
        <w:ind w:left="0" w:right="13"/>
        <w:jc w:val="both"/>
        <w:rPr>
          <w:rFonts w:ascii="Times New Roman" w:hAnsi="Times New Roman" w:cs="Times New Roman"/>
        </w:rPr>
      </w:pPr>
    </w:p>
    <w:p w14:paraId="0E4A7F2C" w14:textId="77777777" w:rsidR="00002BC8" w:rsidRPr="00002BC8" w:rsidRDefault="00002BC8" w:rsidP="00002BC8">
      <w:pPr>
        <w:pStyle w:val="BodyText"/>
        <w:spacing w:line="254" w:lineRule="auto"/>
        <w:ind w:left="140" w:right="13" w:firstLine="427"/>
        <w:jc w:val="both"/>
        <w:rPr>
          <w:rFonts w:ascii="Book Antiqua" w:hAnsi="Book Antiqua"/>
          <w:b/>
          <w:bCs/>
        </w:rPr>
      </w:pPr>
      <w:r w:rsidRPr="00002BC8">
        <w:rPr>
          <w:rFonts w:ascii="Book Antiqua" w:hAnsi="Book Antiqua"/>
          <w:b/>
          <w:bCs/>
        </w:rPr>
        <w:t>B. Kelalaian Pemilik Lahan sebagai Bentuk Turut Serta atau Pembantuan Tindak Pidana Narkotika</w:t>
      </w:r>
    </w:p>
    <w:p w14:paraId="760250C5" w14:textId="5AFD6C49" w:rsidR="00002BC8" w:rsidRPr="00002BC8" w:rsidRDefault="00002BC8" w:rsidP="00002BC8">
      <w:pPr>
        <w:pStyle w:val="BodyText"/>
        <w:spacing w:line="254" w:lineRule="auto"/>
        <w:ind w:left="140" w:right="13" w:firstLine="427"/>
        <w:jc w:val="both"/>
        <w:rPr>
          <w:rFonts w:ascii="Book Antiqua" w:hAnsi="Book Antiqua"/>
          <w:b/>
          <w:bCs/>
        </w:rPr>
      </w:pPr>
      <w:r w:rsidRPr="00002BC8">
        <w:rPr>
          <w:rFonts w:ascii="Book Antiqua" w:hAnsi="Book Antiqua"/>
          <w:b/>
          <w:bCs/>
        </w:rPr>
        <w:t>1. Konsep Dasar Pertanggungjawaban Pidana</w:t>
      </w:r>
    </w:p>
    <w:p w14:paraId="55E81464" w14:textId="436333DE" w:rsidR="00994DF3" w:rsidRDefault="00002BC8" w:rsidP="00994DF3">
      <w:pPr>
        <w:spacing w:before="22"/>
        <w:ind w:left="425" w:firstLine="720"/>
        <w:jc w:val="both"/>
        <w:rPr>
          <w:rFonts w:ascii="Book Antiqua" w:hAnsi="Book Antiqua"/>
          <w:bCs/>
        </w:rPr>
      </w:pPr>
      <w:r w:rsidRPr="00AA18B1">
        <w:rPr>
          <w:rFonts w:ascii="Book Antiqua" w:hAnsi="Book Antiqua"/>
          <w:bCs/>
        </w:rPr>
        <w:t xml:space="preserve">Pertanggungjawaban pidana dalam bahasa Belanda disebut </w:t>
      </w:r>
      <w:r w:rsidRPr="00AA18B1">
        <w:rPr>
          <w:rFonts w:ascii="Book Antiqua" w:hAnsi="Book Antiqua"/>
          <w:bCs/>
          <w:i/>
          <w:iCs/>
        </w:rPr>
        <w:t>rekenbaarheid</w:t>
      </w:r>
      <w:r w:rsidRPr="00AA18B1">
        <w:rPr>
          <w:rFonts w:ascii="Book Antiqua" w:hAnsi="Book Antiqua"/>
          <w:bCs/>
        </w:rPr>
        <w:t xml:space="preserve"> dan dalam bahasa Inggris </w:t>
      </w:r>
      <w:r w:rsidRPr="00AA18B1">
        <w:rPr>
          <w:rFonts w:ascii="Book Antiqua" w:hAnsi="Book Antiqua"/>
          <w:bCs/>
          <w:i/>
          <w:iCs/>
        </w:rPr>
        <w:t>criminal responsibility</w:t>
      </w:r>
      <w:r w:rsidRPr="00AA18B1">
        <w:rPr>
          <w:rFonts w:ascii="Book Antiqua" w:hAnsi="Book Antiqua"/>
          <w:bCs/>
        </w:rPr>
        <w:t xml:space="preserve"> atau </w:t>
      </w:r>
      <w:r w:rsidRPr="00AA18B1">
        <w:rPr>
          <w:rFonts w:ascii="Book Antiqua" w:hAnsi="Book Antiqua"/>
          <w:bCs/>
          <w:i/>
          <w:iCs/>
        </w:rPr>
        <w:t>criminal liability</w:t>
      </w:r>
      <w:r w:rsidRPr="00AA18B1">
        <w:rPr>
          <w:rFonts w:ascii="Book Antiqua" w:hAnsi="Book Antiqua"/>
          <w:bCs/>
        </w:rPr>
        <w:t xml:space="preserve">. Ini adalah proses mengenakan hukuman pada seseorang yang melanggar larangan atau menimbulkan keadaan terlarang. </w:t>
      </w:r>
    </w:p>
    <w:p w14:paraId="4FC9A8EF" w14:textId="0AE7FB6D" w:rsidR="00994DF3" w:rsidRDefault="00994DF3" w:rsidP="00994DF3">
      <w:pPr>
        <w:spacing w:before="22"/>
        <w:ind w:left="425" w:firstLine="720"/>
        <w:jc w:val="both"/>
        <w:rPr>
          <w:rFonts w:ascii="Book Antiqua" w:hAnsi="Book Antiqua"/>
          <w:bCs/>
        </w:rPr>
      </w:pPr>
      <w:r>
        <w:rPr>
          <w:rFonts w:ascii="Book Antiqua" w:hAnsi="Book Antiqua"/>
          <w:noProof/>
          <w:lang w:val="en-US"/>
        </w:rPr>
        <mc:AlternateContent>
          <mc:Choice Requires="wps">
            <w:drawing>
              <wp:anchor distT="0" distB="0" distL="114300" distR="114300" simplePos="0" relativeHeight="251667456" behindDoc="0" locked="0" layoutInCell="1" allowOverlap="1" wp14:anchorId="00A54890" wp14:editId="3D531176">
                <wp:simplePos x="0" y="0"/>
                <wp:positionH relativeFrom="column">
                  <wp:posOffset>0</wp:posOffset>
                </wp:positionH>
                <wp:positionV relativeFrom="paragraph">
                  <wp:posOffset>88900</wp:posOffset>
                </wp:positionV>
                <wp:extent cx="257670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AC961"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pt" to="202.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" strokecolor="black [3040]"/>
            </w:pict>
          </mc:Fallback>
        </mc:AlternateContent>
      </w:r>
    </w:p>
    <w:p w14:paraId="3933DA1A" w14:textId="639DB818" w:rsidR="00994DF3" w:rsidRPr="00994DF3" w:rsidRDefault="00D46734" w:rsidP="00994DF3">
      <w:pPr>
        <w:spacing w:before="22"/>
        <w:jc w:val="both"/>
        <w:rPr>
          <w:rFonts w:ascii="Book Antiqua" w:hAnsi="Book Antiqua"/>
          <w:bCs/>
        </w:rPr>
      </w:pPr>
      <w:r w:rsidRPr="00002BC8">
        <w:rPr>
          <w:rFonts w:ascii="Book Antiqua" w:hAnsi="Book Antiqua"/>
        </w:rPr>
        <w:t>¹</w:t>
      </w:r>
      <w:r w:rsidRPr="009A4CEE">
        <w:rPr>
          <w:rFonts w:ascii="Book Antiqua" w:hAnsi="Book Antiqua"/>
          <w:w w:val="105"/>
          <w:lang w:val="en-US"/>
        </w:rPr>
        <w:t>³</w:t>
      </w:r>
      <w:r w:rsidR="00994DF3" w:rsidRPr="00994DF3">
        <w:rPr>
          <w:rFonts w:ascii="Book Antiqua" w:hAnsi="Book Antiqua"/>
          <w:bCs/>
        </w:rPr>
        <w:t xml:space="preserve"> Putusan Pengadilan Negeri Blitar Nomor 418/Pid.Sus/2025/PN Blt.</w:t>
      </w:r>
    </w:p>
    <w:p w14:paraId="1F600BEC" w14:textId="77017ADA" w:rsidR="00994DF3" w:rsidRPr="00EF3135" w:rsidRDefault="00D46734" w:rsidP="00EF3135">
      <w:pPr>
        <w:pStyle w:val="BodyText"/>
        <w:spacing w:line="254" w:lineRule="auto"/>
        <w:ind w:left="-426" w:right="13" w:firstLine="427"/>
        <w:jc w:val="both"/>
        <w:rPr>
          <w:rFonts w:ascii="Book Antiqua" w:hAnsi="Book Antiqua" w:cs="Times New Roman"/>
        </w:rPr>
      </w:pPr>
      <w:r w:rsidRPr="00002BC8">
        <w:rPr>
          <w:rFonts w:ascii="Book Antiqua" w:hAnsi="Book Antiqua"/>
        </w:rPr>
        <w:t>¹</w:t>
      </w:r>
      <w:r w:rsidRPr="009A4CEE">
        <w:rPr>
          <w:rFonts w:ascii="Times New Roman" w:hAnsi="Times New Roman" w:cs="Times New Roman"/>
          <w:spacing w:val="-12"/>
          <w:w w:val="105"/>
        </w:rPr>
        <w:t>⁴</w:t>
      </w:r>
      <w:r w:rsidR="00994DF3" w:rsidRPr="00994DF3">
        <w:rPr>
          <w:rFonts w:ascii="Book Antiqua" w:hAnsi="Book Antiqua"/>
          <w:bCs/>
        </w:rPr>
        <w:t xml:space="preserve"> Salem and Indara, "</w:t>
      </w:r>
      <w:r w:rsidR="00994DF3" w:rsidRPr="00513B06">
        <w:rPr>
          <w:rFonts w:ascii="Book Antiqua" w:hAnsi="Book Antiqua"/>
          <w:bCs/>
        </w:rPr>
        <w:t>Kewenangan Kepala Desa</w:t>
      </w:r>
      <w:r w:rsidR="00994DF3" w:rsidRPr="00994DF3">
        <w:rPr>
          <w:rFonts w:ascii="Book Antiqua" w:hAnsi="Book Antiqua"/>
          <w:bCs/>
        </w:rPr>
        <w:t>," 295.</w:t>
      </w:r>
    </w:p>
    <w:p w14:paraId="23C4EE7E" w14:textId="24DA85C9" w:rsidR="00994DF3" w:rsidRDefault="00EB3ECC" w:rsidP="00994DF3">
      <w:pPr>
        <w:spacing w:before="22"/>
        <w:jc w:val="both"/>
        <w:rPr>
          <w:rFonts w:ascii="Book Antiqua" w:hAnsi="Book Antiqua"/>
          <w:bCs/>
        </w:rPr>
      </w:pPr>
      <w:r w:rsidRPr="00994DF3">
        <w:rPr>
          <w:rFonts w:ascii="Book Antiqua" w:hAnsi="Book Antiqua"/>
          <w:bCs/>
        </w:rPr>
        <w:t>¹</w:t>
      </w:r>
      <w:r w:rsidR="00D46734" w:rsidRPr="009A4CEE">
        <w:rPr>
          <w:rFonts w:ascii="Times New Roman" w:hAnsi="Times New Roman" w:cs="Times New Roman"/>
          <w:spacing w:val="-12"/>
          <w:w w:val="105"/>
        </w:rPr>
        <w:t>⁵</w:t>
      </w:r>
      <w:r w:rsidR="00994DF3" w:rsidRPr="00994DF3">
        <w:rPr>
          <w:rFonts w:ascii="Book Antiqua" w:hAnsi="Book Antiqua"/>
          <w:bCs/>
        </w:rPr>
        <w:t xml:space="preserve"> Pasal 111 ayat (1) Undang-Undang Nomor 35 Tahun 2009 tentang Narkotika.</w:t>
      </w:r>
    </w:p>
    <w:p w14:paraId="5D52B738" w14:textId="494BD49C" w:rsidR="00EF3135" w:rsidRDefault="00EF3135" w:rsidP="00994DF3">
      <w:pPr>
        <w:spacing w:before="22"/>
        <w:jc w:val="both"/>
        <w:rPr>
          <w:rFonts w:ascii="Book Antiqua" w:hAnsi="Book Antiqua"/>
          <w:bCs/>
        </w:rPr>
      </w:pPr>
    </w:p>
    <w:p w14:paraId="7D282DE0" w14:textId="77777777" w:rsidR="00EF3135" w:rsidRDefault="00EF3135" w:rsidP="00994DF3">
      <w:pPr>
        <w:spacing w:before="22"/>
        <w:jc w:val="both"/>
        <w:rPr>
          <w:rFonts w:ascii="Book Antiqua" w:hAnsi="Book Antiqua"/>
          <w:bCs/>
        </w:rPr>
      </w:pPr>
    </w:p>
    <w:p w14:paraId="6903F638" w14:textId="77777777" w:rsidR="00994DF3" w:rsidRDefault="00994DF3" w:rsidP="00994DF3">
      <w:pPr>
        <w:spacing w:before="22"/>
        <w:ind w:left="425"/>
        <w:jc w:val="both"/>
        <w:rPr>
          <w:rFonts w:ascii="Book Antiqua" w:hAnsi="Book Antiqua"/>
          <w:bCs/>
        </w:rPr>
      </w:pPr>
    </w:p>
    <w:p w14:paraId="518FF8B7" w14:textId="58311760" w:rsidR="00AA18B1" w:rsidRPr="00375E54" w:rsidRDefault="00002BC8" w:rsidP="00375E54">
      <w:pPr>
        <w:pStyle w:val="BodyText"/>
        <w:spacing w:line="254" w:lineRule="auto"/>
        <w:ind w:left="140" w:right="13" w:firstLine="427"/>
        <w:jc w:val="both"/>
        <w:rPr>
          <w:rFonts w:ascii="Book Antiqua" w:hAnsi="Book Antiqua"/>
          <w:w w:val="105"/>
        </w:rPr>
      </w:pPr>
      <w:r w:rsidRPr="00AA18B1">
        <w:rPr>
          <w:rFonts w:ascii="Book Antiqua" w:hAnsi="Book Antiqua"/>
          <w:bCs/>
        </w:rPr>
        <w:t>Pertanggungjawaban pidana berkaitan erat dengan unsur</w:t>
      </w:r>
      <w:r w:rsidR="00994DF3">
        <w:rPr>
          <w:rFonts w:ascii="Book Antiqua" w:hAnsi="Book Antiqua"/>
          <w:bCs/>
          <w:lang w:val="en-US"/>
        </w:rPr>
        <w:t xml:space="preserve"> </w:t>
      </w:r>
      <w:r w:rsidRPr="00AA18B1">
        <w:rPr>
          <w:rFonts w:ascii="Book Antiqua" w:hAnsi="Book Antiqua"/>
          <w:bCs/>
        </w:rPr>
        <w:t>"kesalahan" dan asas fundamental "tidak ada pidana tanpa kesalahan".</w:t>
      </w:r>
      <w:r w:rsidR="00593128">
        <w:rPr>
          <w:rFonts w:ascii="Book Antiqua" w:hAnsi="Book Antiqua"/>
          <w:bCs/>
          <w:lang w:val="en-US"/>
        </w:rPr>
        <w:t xml:space="preserve"> </w:t>
      </w:r>
      <w:r w:rsidRPr="00AA18B1">
        <w:rPr>
          <w:rFonts w:ascii="Book Antiqua" w:hAnsi="Book Antiqua"/>
          <w:bCs/>
        </w:rPr>
        <w:t>Pertanggungjawaban pidana merupakan pemindahan sanksi objektif dalam tindak pidana sesuai ketentuan hukum, yang secara subjektif diberikan pada pelaku yang memenuhi syarat untuk dipidana.</w:t>
      </w:r>
      <w:r w:rsidR="00D46734" w:rsidRPr="00994DF3">
        <w:rPr>
          <w:rFonts w:ascii="Book Antiqua" w:hAnsi="Book Antiqua"/>
          <w:bCs/>
        </w:rPr>
        <w:t>¹</w:t>
      </w:r>
      <w:r w:rsidR="00D46734" w:rsidRPr="00994DF3">
        <w:rPr>
          <w:rFonts w:ascii="Times New Roman" w:hAnsi="Times New Roman" w:cs="Times New Roman"/>
          <w:bCs/>
        </w:rPr>
        <w:t>⁶</w:t>
      </w:r>
    </w:p>
    <w:p w14:paraId="6A1B9B72" w14:textId="015EEE0B" w:rsidR="00002BC8" w:rsidRPr="00AA18B1" w:rsidRDefault="00002BC8" w:rsidP="00994DF3">
      <w:pPr>
        <w:spacing w:before="22"/>
        <w:ind w:left="425" w:firstLine="720"/>
        <w:jc w:val="both"/>
        <w:rPr>
          <w:rFonts w:ascii="Book Antiqua" w:hAnsi="Book Antiqua"/>
          <w:bCs/>
        </w:rPr>
      </w:pPr>
      <w:r w:rsidRPr="00AA18B1">
        <w:rPr>
          <w:rFonts w:ascii="Book Antiqua" w:hAnsi="Book Antiqua"/>
          <w:bCs/>
        </w:rPr>
        <w:t xml:space="preserve">Undang-Undang Nomor 35 Tahun 2009 tentang Narkotika menyatakan setiap tindakan tanpa izin yang berkaitan langsung atau tidak langsung dengan narkotika adalah tindak pidana narkotika. Dalam KUHP, prinsip pertanggungjawaban pidana diarahkan pada negara, misalnya perampasan hak dan pembayaran denda. Konsep dasar pertanggungjawaban pidana mencakup dua elemen utama: </w:t>
      </w:r>
      <w:r w:rsidRPr="00B7783C">
        <w:rPr>
          <w:rFonts w:ascii="Book Antiqua" w:hAnsi="Book Antiqua"/>
          <w:bCs/>
          <w:i/>
          <w:iCs/>
        </w:rPr>
        <w:t>actus reus</w:t>
      </w:r>
      <w:r w:rsidRPr="00AA18B1">
        <w:rPr>
          <w:rFonts w:ascii="Book Antiqua" w:hAnsi="Book Antiqua"/>
          <w:bCs/>
        </w:rPr>
        <w:t xml:space="preserve"> (perbuatan jahat) berupa perilaku fisik yang dilarang hukum, mencakup tindakan positif maupun pasif/kelalaian, dan </w:t>
      </w:r>
      <w:r w:rsidRPr="00E90C2D">
        <w:rPr>
          <w:rFonts w:ascii="Book Antiqua" w:hAnsi="Book Antiqua"/>
          <w:bCs/>
          <w:i/>
          <w:iCs/>
        </w:rPr>
        <w:t>mens rea</w:t>
      </w:r>
      <w:r w:rsidRPr="00AA18B1">
        <w:rPr>
          <w:rFonts w:ascii="Book Antiqua" w:hAnsi="Book Antiqua"/>
          <w:bCs/>
        </w:rPr>
        <w:t xml:space="preserve"> (niat jahat) berupa keadaan mental pelaku saat melakukan tindak pidana.</w:t>
      </w:r>
      <w:r w:rsidR="00D46734" w:rsidRPr="00375E54">
        <w:rPr>
          <w:rFonts w:ascii="Book Antiqua" w:hAnsi="Book Antiqua"/>
          <w:bCs/>
        </w:rPr>
        <w:t>¹</w:t>
      </w:r>
      <w:r w:rsidR="00D46734" w:rsidRPr="00375E54">
        <w:rPr>
          <w:rFonts w:ascii="Times New Roman" w:hAnsi="Times New Roman" w:cs="Times New Roman"/>
          <w:w w:val="105"/>
        </w:rPr>
        <w:t>⁷</w:t>
      </w:r>
    </w:p>
    <w:p w14:paraId="3D4F8C7E" w14:textId="4B8DC958" w:rsidR="00002BC8" w:rsidRPr="00AA18B1" w:rsidRDefault="00002BC8" w:rsidP="00091895">
      <w:pPr>
        <w:spacing w:before="22"/>
        <w:ind w:left="425" w:firstLine="720"/>
        <w:jc w:val="both"/>
        <w:rPr>
          <w:rFonts w:ascii="Book Antiqua" w:hAnsi="Book Antiqua"/>
          <w:bCs/>
        </w:rPr>
      </w:pPr>
      <w:r w:rsidRPr="00AA18B1">
        <w:rPr>
          <w:rFonts w:ascii="Book Antiqua" w:hAnsi="Book Antiqua"/>
          <w:bCs/>
        </w:rPr>
        <w:t xml:space="preserve">Unsur pertanggungjawaban pidana meliputi kecakapan bertanggung jawab dan kesalahan, baik </w:t>
      </w:r>
      <w:r w:rsidRPr="00593128">
        <w:rPr>
          <w:rFonts w:ascii="Book Antiqua" w:hAnsi="Book Antiqua"/>
          <w:bCs/>
          <w:i/>
          <w:iCs/>
        </w:rPr>
        <w:t>dolus</w:t>
      </w:r>
      <w:r w:rsidRPr="00AA18B1">
        <w:rPr>
          <w:rFonts w:ascii="Book Antiqua" w:hAnsi="Book Antiqua"/>
          <w:bCs/>
        </w:rPr>
        <w:t xml:space="preserve"> (sengaja) maupun </w:t>
      </w:r>
      <w:r w:rsidRPr="00593128">
        <w:rPr>
          <w:rFonts w:ascii="Book Antiqua" w:hAnsi="Book Antiqua"/>
          <w:bCs/>
          <w:i/>
          <w:iCs/>
        </w:rPr>
        <w:t>culpa</w:t>
      </w:r>
      <w:r w:rsidRPr="00AA18B1">
        <w:rPr>
          <w:rFonts w:ascii="Book Antiqua" w:hAnsi="Book Antiqua"/>
          <w:bCs/>
        </w:rPr>
        <w:t xml:space="preserve"> (lalai). Kesengajaan (</w:t>
      </w:r>
      <w:r w:rsidRPr="00593128">
        <w:rPr>
          <w:rFonts w:ascii="Book Antiqua" w:hAnsi="Book Antiqua"/>
          <w:bCs/>
          <w:i/>
          <w:iCs/>
        </w:rPr>
        <w:t>dolus</w:t>
      </w:r>
      <w:r w:rsidRPr="00AA18B1">
        <w:rPr>
          <w:rFonts w:ascii="Book Antiqua" w:hAnsi="Book Antiqua"/>
          <w:bCs/>
        </w:rPr>
        <w:t xml:space="preserve">) memiliki beberapa jenis: dolus determinatus (spesifik), </w:t>
      </w:r>
      <w:r w:rsidRPr="00593128">
        <w:rPr>
          <w:rFonts w:ascii="Book Antiqua" w:hAnsi="Book Antiqua"/>
          <w:bCs/>
          <w:i/>
          <w:iCs/>
        </w:rPr>
        <w:t>dolus indeterminatus</w:t>
      </w:r>
      <w:r w:rsidRPr="00AA18B1">
        <w:rPr>
          <w:rFonts w:ascii="Book Antiqua" w:hAnsi="Book Antiqua"/>
          <w:bCs/>
        </w:rPr>
        <w:t xml:space="preserve"> (tidak spesifik), </w:t>
      </w:r>
      <w:r w:rsidRPr="00593128">
        <w:rPr>
          <w:rFonts w:ascii="Book Antiqua" w:hAnsi="Book Antiqua"/>
          <w:bCs/>
          <w:i/>
          <w:iCs/>
        </w:rPr>
        <w:t xml:space="preserve">dolus alternativus </w:t>
      </w:r>
      <w:r w:rsidRPr="00AA18B1">
        <w:rPr>
          <w:rFonts w:ascii="Book Antiqua" w:hAnsi="Book Antiqua"/>
          <w:bCs/>
        </w:rPr>
        <w:t xml:space="preserve">(berpilihan), dan </w:t>
      </w:r>
      <w:r w:rsidRPr="00593128">
        <w:rPr>
          <w:rFonts w:ascii="Book Antiqua" w:hAnsi="Book Antiqua"/>
          <w:bCs/>
          <w:i/>
          <w:iCs/>
        </w:rPr>
        <w:t>dolus generalis</w:t>
      </w:r>
      <w:r w:rsidRPr="00AA18B1">
        <w:rPr>
          <w:rFonts w:ascii="Book Antiqua" w:hAnsi="Book Antiqua"/>
          <w:bCs/>
        </w:rPr>
        <w:t xml:space="preserve"> (umum). Sedangkan </w:t>
      </w:r>
      <w:r w:rsidRPr="00593128">
        <w:rPr>
          <w:rFonts w:ascii="Book Antiqua" w:hAnsi="Book Antiqua"/>
          <w:bCs/>
          <w:i/>
          <w:iCs/>
        </w:rPr>
        <w:t>culpa</w:t>
      </w:r>
      <w:r w:rsidRPr="00AA18B1">
        <w:rPr>
          <w:rFonts w:ascii="Book Antiqua" w:hAnsi="Book Antiqua"/>
          <w:bCs/>
        </w:rPr>
        <w:t xml:space="preserve"> adalah kelalaian atau kurang hati-hati yang menimbulkan akibat merugikan, dibagi menjadi </w:t>
      </w:r>
      <w:r w:rsidRPr="00593128">
        <w:rPr>
          <w:rFonts w:ascii="Book Antiqua" w:hAnsi="Book Antiqua"/>
          <w:bCs/>
          <w:i/>
          <w:iCs/>
        </w:rPr>
        <w:t>culpa lata</w:t>
      </w:r>
      <w:r w:rsidRPr="00AA18B1">
        <w:rPr>
          <w:rFonts w:ascii="Book Antiqua" w:hAnsi="Book Antiqua"/>
          <w:bCs/>
        </w:rPr>
        <w:t xml:space="preserve"> (kelalaian berat) dan </w:t>
      </w:r>
      <w:r w:rsidRPr="00830D95">
        <w:rPr>
          <w:rFonts w:ascii="Book Antiqua" w:hAnsi="Book Antiqua"/>
          <w:bCs/>
          <w:i/>
          <w:iCs/>
        </w:rPr>
        <w:t>culpa levis</w:t>
      </w:r>
      <w:r w:rsidRPr="00AA18B1">
        <w:rPr>
          <w:rFonts w:ascii="Book Antiqua" w:hAnsi="Book Antiqua"/>
          <w:bCs/>
        </w:rPr>
        <w:t xml:space="preserve"> (kelalaian ringan).</w:t>
      </w:r>
      <w:r w:rsidR="008C0580" w:rsidRPr="008C0580">
        <w:rPr>
          <w:rFonts w:ascii="Book Antiqua" w:hAnsi="Book Antiqua"/>
          <w:bCs/>
        </w:rPr>
        <w:t xml:space="preserve"> </w:t>
      </w:r>
      <w:r w:rsidR="00D46734" w:rsidRPr="003865B4">
        <w:rPr>
          <w:rFonts w:ascii="Book Antiqua" w:hAnsi="Book Antiqua"/>
          <w:bCs/>
        </w:rPr>
        <w:t>¹</w:t>
      </w:r>
      <w:r w:rsidR="00D46734" w:rsidRPr="003865B4">
        <w:rPr>
          <w:rFonts w:ascii="Times New Roman" w:hAnsi="Times New Roman" w:cs="Times New Roman"/>
          <w:w w:val="105"/>
        </w:rPr>
        <w:t>⁸</w:t>
      </w:r>
    </w:p>
    <w:p w14:paraId="7A9E3ACC" w14:textId="145AC305" w:rsidR="00CF3ACF" w:rsidRDefault="00002BC8" w:rsidP="00091895">
      <w:pPr>
        <w:spacing w:before="22"/>
        <w:ind w:left="425" w:firstLine="720"/>
        <w:jc w:val="both"/>
        <w:rPr>
          <w:rFonts w:ascii="Times New Roman" w:hAnsi="Times New Roman" w:cs="Times New Roman"/>
          <w:bCs/>
        </w:rPr>
      </w:pPr>
      <w:r w:rsidRPr="00AA18B1">
        <w:rPr>
          <w:rFonts w:ascii="Book Antiqua" w:hAnsi="Book Antiqua"/>
          <w:bCs/>
        </w:rPr>
        <w:t xml:space="preserve">Menurut Simons, kesalahan adalah dasar pertanggungjawaban yang ada dalam jiwa pelaku dan berkaitan dengan kelakuannya yang dapat dipidana. </w:t>
      </w:r>
      <w:r w:rsidRPr="00593128">
        <w:rPr>
          <w:rFonts w:ascii="Book Antiqua" w:hAnsi="Book Antiqua"/>
          <w:bCs/>
          <w:i/>
          <w:iCs/>
        </w:rPr>
        <w:t xml:space="preserve">Utrecht </w:t>
      </w:r>
      <w:r w:rsidRPr="00AA18B1">
        <w:rPr>
          <w:rFonts w:ascii="Book Antiqua" w:hAnsi="Book Antiqua"/>
          <w:bCs/>
        </w:rPr>
        <w:t>menyatakan pertanggungjawaban pidana atau kesalahan (</w:t>
      </w:r>
      <w:r w:rsidRPr="00593128">
        <w:rPr>
          <w:rFonts w:ascii="Book Antiqua" w:hAnsi="Book Antiqua"/>
          <w:bCs/>
          <w:i/>
          <w:iCs/>
        </w:rPr>
        <w:t>schuld in ruime zin</w:t>
      </w:r>
      <w:r w:rsidRPr="00AA18B1">
        <w:rPr>
          <w:rFonts w:ascii="Book Antiqua" w:hAnsi="Book Antiqua"/>
          <w:bCs/>
        </w:rPr>
        <w:t>) terdiri dari tiga aspek: kemampuan pelaku bertanggung jawab, sikap psikis pelaku terkait kelakuannya, dan tidak adanya alasan penghapus pertanggungjawaban pidana.</w:t>
      </w:r>
      <w:r w:rsidR="00D46734" w:rsidRPr="003865B4">
        <w:rPr>
          <w:rFonts w:ascii="Book Antiqua" w:hAnsi="Book Antiqua"/>
          <w:bCs/>
        </w:rPr>
        <w:t>¹</w:t>
      </w:r>
      <w:r w:rsidR="00D46734" w:rsidRPr="00541071">
        <w:rPr>
          <w:rFonts w:ascii="Times New Roman" w:hAnsi="Times New Roman" w:cs="Times New Roman"/>
          <w:w w:val="105"/>
        </w:rPr>
        <w:t>⁹</w:t>
      </w:r>
    </w:p>
    <w:p w14:paraId="0273904F" w14:textId="2F9E67EB" w:rsidR="00AC0B10" w:rsidRPr="00AC0B10" w:rsidRDefault="00AC0B10" w:rsidP="00AC0B10">
      <w:pPr>
        <w:spacing w:before="22"/>
        <w:ind w:left="425" w:firstLine="720"/>
        <w:rPr>
          <w:rFonts w:ascii="Book Antiqua" w:hAnsi="Book Antiqua"/>
          <w:b/>
        </w:rPr>
      </w:pPr>
      <w:r w:rsidRPr="00AC0B10">
        <w:rPr>
          <w:rFonts w:ascii="Book Antiqua" w:hAnsi="Book Antiqua"/>
          <w:b/>
        </w:rPr>
        <w:t>2. Penyertaan dan Pembantuan dalam Hukum Pidana</w:t>
      </w:r>
    </w:p>
    <w:p w14:paraId="477CCB64" w14:textId="76F5BF26" w:rsidR="00AC0B10" w:rsidRPr="00AC0B10" w:rsidRDefault="00AC0B10" w:rsidP="00091895">
      <w:pPr>
        <w:spacing w:before="22"/>
        <w:ind w:left="425" w:firstLine="720"/>
        <w:jc w:val="both"/>
        <w:rPr>
          <w:rFonts w:ascii="Book Antiqua" w:hAnsi="Book Antiqua"/>
          <w:bCs/>
        </w:rPr>
      </w:pPr>
      <w:r w:rsidRPr="00AC0B10">
        <w:rPr>
          <w:rFonts w:ascii="Book Antiqua" w:hAnsi="Book Antiqua"/>
          <w:bCs/>
        </w:rPr>
        <w:t>Jika dalam perkara pidana terdapat lebih dari satu orang, perlu dicari pertanggungjawaban dan peran masing-masing. Penyertaan dalam tindak pidana dibagi menjadi penyertaan berdiri sendiri (orang yang langsung melakukan tindak pidana) dan penyertaan tidak berdiri sendiri (pembujuk, pembantu, orang yang memerintahkan pelaksanaan).</w:t>
      </w:r>
      <w:r w:rsidR="00A51EC5" w:rsidRPr="00A51EC5">
        <w:rPr>
          <w:rFonts w:ascii="Book Antiqua" w:hAnsi="Book Antiqua"/>
          <w:bCs/>
        </w:rPr>
        <w:t xml:space="preserve"> </w:t>
      </w:r>
    </w:p>
    <w:p w14:paraId="28A430DB" w14:textId="18BF04B8" w:rsidR="00BA0A86" w:rsidRDefault="00AC0B10" w:rsidP="00BA0A86">
      <w:pPr>
        <w:spacing w:before="22"/>
        <w:ind w:left="425" w:firstLine="720"/>
        <w:jc w:val="both"/>
        <w:rPr>
          <w:rFonts w:ascii="Times New Roman" w:hAnsi="Times New Roman" w:cs="Times New Roman"/>
          <w:bCs/>
        </w:rPr>
      </w:pPr>
      <w:r w:rsidRPr="00AC0B10">
        <w:rPr>
          <w:rFonts w:ascii="Book Antiqua" w:hAnsi="Book Antiqua"/>
          <w:bCs/>
        </w:rPr>
        <w:t>KUHP mengatur dua bentuk penyertaan. Pertama, para pembuat (</w:t>
      </w:r>
      <w:r w:rsidRPr="00AC0B10">
        <w:rPr>
          <w:rFonts w:ascii="Book Antiqua" w:hAnsi="Book Antiqua"/>
          <w:bCs/>
          <w:i/>
          <w:iCs/>
        </w:rPr>
        <w:t>mede dader</w:t>
      </w:r>
      <w:r w:rsidRPr="00AC0B10">
        <w:rPr>
          <w:rFonts w:ascii="Book Antiqua" w:hAnsi="Book Antiqua"/>
          <w:bCs/>
        </w:rPr>
        <w:t xml:space="preserve">) dalam Pasal 55 KUHP: orang yang melakukan tindakan </w:t>
      </w:r>
      <w:r w:rsidRPr="00AC0B10">
        <w:rPr>
          <w:rFonts w:ascii="Book Antiqua" w:hAnsi="Book Antiqua"/>
          <w:bCs/>
          <w:i/>
          <w:iCs/>
        </w:rPr>
        <w:t>(plegen</w:t>
      </w:r>
      <w:r w:rsidRPr="00AC0B10">
        <w:rPr>
          <w:rFonts w:ascii="Book Antiqua" w:hAnsi="Book Antiqua"/>
          <w:bCs/>
        </w:rPr>
        <w:t>), memerintahkan (</w:t>
      </w:r>
      <w:r w:rsidRPr="00AC0B10">
        <w:rPr>
          <w:rFonts w:ascii="Book Antiqua" w:hAnsi="Book Antiqua"/>
          <w:bCs/>
          <w:i/>
          <w:iCs/>
        </w:rPr>
        <w:t>doen plegen</w:t>
      </w:r>
      <w:r w:rsidRPr="00AC0B10">
        <w:rPr>
          <w:rFonts w:ascii="Book Antiqua" w:hAnsi="Book Antiqua"/>
          <w:bCs/>
        </w:rPr>
        <w:t>), turut serta (</w:t>
      </w:r>
      <w:r w:rsidRPr="00AC0B10">
        <w:rPr>
          <w:rFonts w:ascii="Book Antiqua" w:hAnsi="Book Antiqua"/>
          <w:bCs/>
          <w:i/>
          <w:iCs/>
        </w:rPr>
        <w:t>mede plegen</w:t>
      </w:r>
      <w:r w:rsidRPr="00AC0B10">
        <w:rPr>
          <w:rFonts w:ascii="Book Antiqua" w:hAnsi="Book Antiqua"/>
          <w:bCs/>
        </w:rPr>
        <w:t>), dan sengaja menganjurkan (</w:t>
      </w:r>
      <w:r w:rsidRPr="00AC0B10">
        <w:rPr>
          <w:rFonts w:ascii="Book Antiqua" w:hAnsi="Book Antiqua"/>
          <w:bCs/>
          <w:i/>
          <w:iCs/>
        </w:rPr>
        <w:t>uitlokken</w:t>
      </w:r>
      <w:r w:rsidRPr="00AC0B10">
        <w:rPr>
          <w:rFonts w:ascii="Book Antiqua" w:hAnsi="Book Antiqua"/>
          <w:bCs/>
        </w:rPr>
        <w:t>). Kedua, pembuat pembantu (</w:t>
      </w:r>
      <w:r w:rsidRPr="00AC0B10">
        <w:rPr>
          <w:rFonts w:ascii="Book Antiqua" w:hAnsi="Book Antiqua"/>
          <w:bCs/>
          <w:i/>
          <w:iCs/>
        </w:rPr>
        <w:t>mede plichtigheid</w:t>
      </w:r>
      <w:r w:rsidRPr="00AC0B10">
        <w:rPr>
          <w:rFonts w:ascii="Book Antiqua" w:hAnsi="Book Antiqua"/>
          <w:bCs/>
        </w:rPr>
        <w:t>) dalam Pasal 56 KUHP: orang yang sengaja memberi bantuan saat tindak pidana dilakukan, dan orang yang memberi kesempatan, sarana, atau keterangan sebelum tindakan dilakukan.</w:t>
      </w:r>
    </w:p>
    <w:p w14:paraId="3BC7E9B0" w14:textId="48BDD99F" w:rsidR="00DE74C3" w:rsidRDefault="00DE74C3" w:rsidP="00EA475E">
      <w:pPr>
        <w:spacing w:before="22"/>
        <w:ind w:left="425" w:firstLine="720"/>
        <w:jc w:val="both"/>
        <w:rPr>
          <w:rFonts w:ascii="Book Antiqua" w:hAnsi="Book Antiqua"/>
          <w:bCs/>
        </w:rPr>
      </w:pPr>
      <w:r w:rsidRPr="00AC0B10">
        <w:rPr>
          <w:rFonts w:ascii="Book Antiqua" w:hAnsi="Book Antiqua"/>
          <w:bCs/>
          <w:i/>
          <w:iCs/>
        </w:rPr>
        <w:t>Mede plegen</w:t>
      </w:r>
      <w:r w:rsidRPr="00AC0B10">
        <w:rPr>
          <w:rFonts w:ascii="Book Antiqua" w:hAnsi="Book Antiqua"/>
          <w:bCs/>
        </w:rPr>
        <w:t xml:space="preserve"> mensyaratkan kerja sama sadar (</w:t>
      </w:r>
      <w:r w:rsidRPr="00AC0B10">
        <w:rPr>
          <w:rFonts w:ascii="Book Antiqua" w:hAnsi="Book Antiqua"/>
          <w:bCs/>
          <w:i/>
          <w:iCs/>
        </w:rPr>
        <w:t>bewuste samenwerking</w:t>
      </w:r>
      <w:r w:rsidRPr="00AC0B10">
        <w:rPr>
          <w:rFonts w:ascii="Book Antiqua" w:hAnsi="Book Antiqua"/>
          <w:bCs/>
        </w:rPr>
        <w:t>) dan pelaksanaan perbuatan bersama secara fisik (</w:t>
      </w:r>
      <w:r w:rsidRPr="00AC0B10">
        <w:rPr>
          <w:rFonts w:ascii="Book Antiqua" w:hAnsi="Book Antiqua"/>
          <w:bCs/>
          <w:i/>
          <w:iCs/>
        </w:rPr>
        <w:t>gezamenlijke uitvoering</w:t>
      </w:r>
      <w:r w:rsidRPr="00AC0B10">
        <w:rPr>
          <w:rFonts w:ascii="Book Antiqua" w:hAnsi="Book Antiqua"/>
          <w:bCs/>
        </w:rPr>
        <w:t>) antara dua orang atau lebih. Setiap pelaku harus punya kehendak bersama yang aktif dan nyata dalam mewujudkan delik, bukan sekadar mengetahui atau membiarkan.</w:t>
      </w:r>
      <w:r w:rsidR="00BA0A86" w:rsidRPr="00BA0A86">
        <w:rPr>
          <w:rFonts w:ascii="Book Antiqua" w:hAnsi="Book Antiqua"/>
          <w:bCs/>
        </w:rPr>
        <w:t xml:space="preserve"> </w:t>
      </w:r>
      <w:r w:rsidR="00BA0A86" w:rsidRPr="00AC0B10">
        <w:rPr>
          <w:rFonts w:ascii="Book Antiqua" w:hAnsi="Book Antiqua"/>
          <w:bCs/>
        </w:rPr>
        <w:t xml:space="preserve">Sikap diam atau ketidakhadiran pemilik lahan tidak memenuhi unsur kumulatif ini, sehingga konstruksi </w:t>
      </w:r>
      <w:r w:rsidR="00BA0A86" w:rsidRPr="00F40A21">
        <w:rPr>
          <w:rFonts w:ascii="Book Antiqua" w:hAnsi="Book Antiqua"/>
          <w:bCs/>
          <w:i/>
          <w:iCs/>
        </w:rPr>
        <w:t>mede plegen</w:t>
      </w:r>
      <w:r w:rsidR="00BA0A86" w:rsidRPr="00AC0B10">
        <w:rPr>
          <w:rFonts w:ascii="Book Antiqua" w:hAnsi="Book Antiqua"/>
          <w:bCs/>
        </w:rPr>
        <w:t xml:space="preserve"> tidak tepat.</w:t>
      </w:r>
      <w:r w:rsidR="00133F28" w:rsidRPr="00133F28">
        <w:rPr>
          <w:rFonts w:ascii="Book Antiqua" w:hAnsi="Book Antiqua"/>
          <w:bCs/>
        </w:rPr>
        <w:t xml:space="preserve"> </w:t>
      </w:r>
      <w:r w:rsidR="00133F28" w:rsidRPr="008C0580">
        <w:rPr>
          <w:rFonts w:ascii="Book Antiqua" w:hAnsi="Book Antiqua"/>
          <w:bCs/>
        </w:rPr>
        <w:t>²</w:t>
      </w:r>
      <w:r w:rsidR="00133F28" w:rsidRPr="008C0580">
        <w:rPr>
          <w:rFonts w:ascii="Times New Roman" w:hAnsi="Times New Roman" w:cs="Times New Roman"/>
        </w:rPr>
        <w:t>⁰</w:t>
      </w:r>
    </w:p>
    <w:p w14:paraId="04F6EAE4" w14:textId="77777777" w:rsidR="00133F28" w:rsidRDefault="00133F28" w:rsidP="00EA475E">
      <w:pPr>
        <w:spacing w:before="22"/>
        <w:ind w:left="425" w:firstLine="720"/>
        <w:jc w:val="both"/>
        <w:rPr>
          <w:rFonts w:ascii="Times New Roman" w:hAnsi="Times New Roman" w:cs="Times New Roman"/>
          <w:bCs/>
        </w:rPr>
      </w:pPr>
    </w:p>
    <w:p w14:paraId="3CBBE81D" w14:textId="1EDAF106" w:rsidR="00091895" w:rsidRPr="00AC0B10" w:rsidRDefault="00DE74C3" w:rsidP="00AC0B10">
      <w:pPr>
        <w:spacing w:before="22"/>
        <w:ind w:left="425" w:firstLine="720"/>
        <w:rPr>
          <w:rFonts w:ascii="Book Antiqua" w:hAnsi="Book Antiqua"/>
          <w:bCs/>
        </w:rPr>
      </w:pPr>
      <w:r>
        <w:rPr>
          <w:rFonts w:ascii="Book Antiqua" w:hAnsi="Book Antiqua"/>
          <w:noProof/>
          <w:lang w:val="en-US"/>
        </w:rPr>
        <mc:AlternateContent>
          <mc:Choice Requires="wps">
            <w:drawing>
              <wp:anchor distT="0" distB="0" distL="114300" distR="114300" simplePos="0" relativeHeight="251669504" behindDoc="0" locked="0" layoutInCell="1" allowOverlap="1" wp14:anchorId="505D38CA" wp14:editId="5825CA80">
                <wp:simplePos x="0" y="0"/>
                <wp:positionH relativeFrom="column">
                  <wp:posOffset>91440</wp:posOffset>
                </wp:positionH>
                <wp:positionV relativeFrom="paragraph">
                  <wp:posOffset>105508</wp:posOffset>
                </wp:positionV>
                <wp:extent cx="257670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C5B48" id="Straight Connector 9"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8.3pt" to="210.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" strokecolor="black [3040]"/>
            </w:pict>
          </mc:Fallback>
        </mc:AlternateContent>
      </w:r>
    </w:p>
    <w:p w14:paraId="0CFB8176" w14:textId="6C074A6A" w:rsidR="00DE74C3" w:rsidRPr="00DE74C3" w:rsidRDefault="004E4E2F" w:rsidP="00DE74C3">
      <w:pPr>
        <w:spacing w:before="22"/>
        <w:jc w:val="both"/>
        <w:rPr>
          <w:rFonts w:ascii="Book Antiqua" w:hAnsi="Book Antiqua"/>
          <w:bCs/>
        </w:rPr>
      </w:pPr>
      <w:r w:rsidRPr="00994DF3">
        <w:rPr>
          <w:rFonts w:ascii="Book Antiqua" w:hAnsi="Book Antiqua"/>
          <w:bCs/>
        </w:rPr>
        <w:t>¹</w:t>
      </w:r>
      <w:r w:rsidRPr="00994DF3">
        <w:rPr>
          <w:rFonts w:ascii="Times New Roman" w:hAnsi="Times New Roman" w:cs="Times New Roman"/>
          <w:bCs/>
        </w:rPr>
        <w:t>⁶</w:t>
      </w:r>
      <w:r w:rsidR="00DE74C3" w:rsidRPr="00DE74C3">
        <w:rPr>
          <w:rFonts w:ascii="Book Antiqua" w:hAnsi="Book Antiqua"/>
          <w:bCs/>
        </w:rPr>
        <w:t xml:space="preserve"> Hakim, Buku Ajar Asas-Asas Hukum Pidana, 2020.</w:t>
      </w:r>
    </w:p>
    <w:p w14:paraId="18814C54" w14:textId="26BB7562" w:rsidR="00DE74C3" w:rsidRPr="00DE74C3" w:rsidRDefault="004E4E2F" w:rsidP="00DE74C3">
      <w:pPr>
        <w:spacing w:before="22"/>
        <w:jc w:val="both"/>
        <w:rPr>
          <w:rFonts w:ascii="Book Antiqua" w:hAnsi="Book Antiqua"/>
          <w:bCs/>
        </w:rPr>
      </w:pPr>
      <w:r w:rsidRPr="00375E54">
        <w:rPr>
          <w:rFonts w:ascii="Book Antiqua" w:hAnsi="Book Antiqua"/>
          <w:bCs/>
        </w:rPr>
        <w:t>¹</w:t>
      </w:r>
      <w:r w:rsidRPr="00375E54">
        <w:rPr>
          <w:rFonts w:ascii="Times New Roman" w:hAnsi="Times New Roman" w:cs="Times New Roman"/>
          <w:w w:val="105"/>
        </w:rPr>
        <w:t>⁷</w:t>
      </w:r>
      <w:r w:rsidR="00DE74C3" w:rsidRPr="00DE74C3">
        <w:rPr>
          <w:rFonts w:ascii="Book Antiqua" w:hAnsi="Book Antiqua"/>
          <w:bCs/>
        </w:rPr>
        <w:t xml:space="preserve"> Utoyo, "</w:t>
      </w:r>
      <w:r w:rsidR="00DE74C3" w:rsidRPr="00F30485">
        <w:rPr>
          <w:rFonts w:ascii="Book Antiqua" w:hAnsi="Book Antiqua"/>
          <w:bCs/>
          <w:i/>
          <w:iCs/>
        </w:rPr>
        <w:t>Sengaja Dan Tidak Sengaja Dalam Hukum Pidana Indonesia</w:t>
      </w:r>
      <w:r w:rsidR="00DE74C3" w:rsidRPr="00DE74C3">
        <w:rPr>
          <w:rFonts w:ascii="Book Antiqua" w:hAnsi="Book Antiqua"/>
          <w:bCs/>
        </w:rPr>
        <w:t>," 78.</w:t>
      </w:r>
    </w:p>
    <w:p w14:paraId="1F681E71" w14:textId="1F641802" w:rsidR="00DE74C3" w:rsidRPr="00DE74C3" w:rsidRDefault="004E4E2F" w:rsidP="005A336C">
      <w:pPr>
        <w:spacing w:before="22"/>
        <w:ind w:left="-709" w:firstLine="720"/>
        <w:jc w:val="both"/>
        <w:rPr>
          <w:rFonts w:ascii="Book Antiqua" w:hAnsi="Book Antiqua"/>
          <w:bCs/>
        </w:rPr>
      </w:pPr>
      <w:r w:rsidRPr="003865B4">
        <w:rPr>
          <w:rFonts w:ascii="Book Antiqua" w:hAnsi="Book Antiqua"/>
          <w:bCs/>
        </w:rPr>
        <w:t>¹</w:t>
      </w:r>
      <w:r w:rsidRPr="003865B4">
        <w:rPr>
          <w:rFonts w:ascii="Times New Roman" w:hAnsi="Times New Roman" w:cs="Times New Roman"/>
          <w:w w:val="105"/>
        </w:rPr>
        <w:t>⁸</w:t>
      </w:r>
      <w:r w:rsidR="005A336C">
        <w:rPr>
          <w:rFonts w:ascii="Book Antiqua" w:hAnsi="Book Antiqua"/>
          <w:bCs/>
          <w:lang w:val="en-US"/>
        </w:rPr>
        <w:t xml:space="preserve"> </w:t>
      </w:r>
      <w:r w:rsidR="00DE74C3" w:rsidRPr="00DE74C3">
        <w:rPr>
          <w:rFonts w:ascii="Book Antiqua" w:hAnsi="Book Antiqua"/>
          <w:bCs/>
        </w:rPr>
        <w:t>Nano, Sahay, and Pramita, "</w:t>
      </w:r>
      <w:r w:rsidR="00DE74C3" w:rsidRPr="00F30485">
        <w:rPr>
          <w:rFonts w:ascii="Book Antiqua" w:hAnsi="Book Antiqua"/>
          <w:bCs/>
          <w:i/>
          <w:iCs/>
        </w:rPr>
        <w:t>Analisis Teoritis Dolus Dan Culpa</w:t>
      </w:r>
      <w:r w:rsidR="00DE74C3" w:rsidRPr="00DE74C3">
        <w:rPr>
          <w:rFonts w:ascii="Book Antiqua" w:hAnsi="Book Antiqua"/>
          <w:bCs/>
        </w:rPr>
        <w:t>," 6245.</w:t>
      </w:r>
    </w:p>
    <w:p w14:paraId="0F5444EA" w14:textId="5186AFC5" w:rsidR="00DE74C3" w:rsidRPr="00DE74C3" w:rsidRDefault="004E4E2F" w:rsidP="00DE74C3">
      <w:pPr>
        <w:spacing w:before="22"/>
        <w:jc w:val="both"/>
        <w:rPr>
          <w:rFonts w:ascii="Book Antiqua" w:hAnsi="Book Antiqua"/>
          <w:bCs/>
        </w:rPr>
      </w:pPr>
      <w:r w:rsidRPr="003865B4">
        <w:rPr>
          <w:rFonts w:ascii="Book Antiqua" w:hAnsi="Book Antiqua"/>
          <w:bCs/>
        </w:rPr>
        <w:t>¹</w:t>
      </w:r>
      <w:r w:rsidRPr="00541071">
        <w:rPr>
          <w:rFonts w:ascii="Times New Roman" w:hAnsi="Times New Roman" w:cs="Times New Roman"/>
          <w:w w:val="105"/>
        </w:rPr>
        <w:t>⁹</w:t>
      </w:r>
      <w:r w:rsidR="00A46D7D">
        <w:rPr>
          <w:rFonts w:ascii="Times New Roman" w:hAnsi="Times New Roman" w:cs="Times New Roman"/>
          <w:lang w:val="en-US"/>
        </w:rPr>
        <w:t xml:space="preserve"> </w:t>
      </w:r>
      <w:r w:rsidR="00DE74C3" w:rsidRPr="00DE74C3">
        <w:rPr>
          <w:rFonts w:ascii="Book Antiqua" w:hAnsi="Book Antiqua"/>
          <w:bCs/>
        </w:rPr>
        <w:t>Pasal 55 dan Pasal 56 Kitab Undang-Undang Hukum Pidana (KUHP).</w:t>
      </w:r>
    </w:p>
    <w:p w14:paraId="0B975C4E" w14:textId="2719B872" w:rsidR="00DE74C3" w:rsidRDefault="004E4E2F" w:rsidP="00DE74C3">
      <w:pPr>
        <w:spacing w:before="22"/>
        <w:jc w:val="both"/>
        <w:rPr>
          <w:rFonts w:ascii="Book Antiqua" w:hAnsi="Book Antiqua"/>
          <w:bCs/>
        </w:rPr>
      </w:pPr>
      <w:r w:rsidRPr="008C0580">
        <w:rPr>
          <w:rFonts w:ascii="Book Antiqua" w:hAnsi="Book Antiqua"/>
          <w:bCs/>
        </w:rPr>
        <w:t>²</w:t>
      </w:r>
      <w:r w:rsidRPr="008C0580">
        <w:rPr>
          <w:rFonts w:ascii="Times New Roman" w:hAnsi="Times New Roman" w:cs="Times New Roman"/>
        </w:rPr>
        <w:t>⁰</w:t>
      </w:r>
      <w:r w:rsidR="00A46D7D">
        <w:rPr>
          <w:rFonts w:ascii="Book Antiqua" w:hAnsi="Book Antiqua"/>
          <w:bCs/>
          <w:lang w:val="en-US"/>
        </w:rPr>
        <w:t xml:space="preserve"> </w:t>
      </w:r>
      <w:r w:rsidR="00DE74C3" w:rsidRPr="00DE74C3">
        <w:rPr>
          <w:rFonts w:ascii="Book Antiqua" w:hAnsi="Book Antiqua"/>
          <w:bCs/>
        </w:rPr>
        <w:t>Pasal 55 dan Pasal 56 KUHP.</w:t>
      </w:r>
    </w:p>
    <w:p w14:paraId="20C5A23E" w14:textId="77777777" w:rsidR="00EA475E" w:rsidRDefault="00EA475E" w:rsidP="00DE74C3">
      <w:pPr>
        <w:spacing w:before="22"/>
        <w:jc w:val="both"/>
        <w:rPr>
          <w:rFonts w:ascii="Book Antiqua" w:hAnsi="Book Antiqua"/>
          <w:bCs/>
        </w:rPr>
      </w:pPr>
    </w:p>
    <w:p w14:paraId="2D4DA677" w14:textId="34837433" w:rsidR="008C0580" w:rsidRDefault="008C0580" w:rsidP="00DE74C3">
      <w:pPr>
        <w:spacing w:before="22"/>
        <w:jc w:val="both"/>
        <w:rPr>
          <w:rFonts w:ascii="Book Antiqua" w:hAnsi="Book Antiqua"/>
          <w:bCs/>
        </w:rPr>
      </w:pPr>
    </w:p>
    <w:p w14:paraId="320DA7C3" w14:textId="77777777" w:rsidR="00A51EC5" w:rsidRDefault="00A51EC5" w:rsidP="00DE74C3">
      <w:pPr>
        <w:spacing w:before="22"/>
        <w:jc w:val="both"/>
        <w:rPr>
          <w:rFonts w:ascii="Book Antiqua" w:hAnsi="Book Antiqua"/>
          <w:bCs/>
        </w:rPr>
      </w:pPr>
    </w:p>
    <w:p w14:paraId="152DBBF8" w14:textId="5ACB7653" w:rsidR="00AC0B10" w:rsidRDefault="00AC0B10" w:rsidP="00091895">
      <w:pPr>
        <w:spacing w:before="22"/>
        <w:ind w:left="425" w:firstLine="720"/>
        <w:jc w:val="both"/>
        <w:rPr>
          <w:rFonts w:ascii="Times New Roman" w:hAnsi="Times New Roman" w:cs="Times New Roman"/>
          <w:bCs/>
        </w:rPr>
      </w:pPr>
      <w:r w:rsidRPr="00AC0B10">
        <w:rPr>
          <w:rFonts w:ascii="Book Antiqua" w:hAnsi="Book Antiqua"/>
          <w:bCs/>
        </w:rPr>
        <w:t>Namun, jika terbukti sikap pasif pemilik lahan disertai kesengajaan memudahkan atau mendukung kejahatan, perbuatan itu bisa dikonstruksi sebagai medeplichtigheid atau pembantuan sesuai Pasal 56 KUHP. Pembantuan mencakup bantuan saat kejahatan dilakukan (</w:t>
      </w:r>
      <w:r w:rsidRPr="00AC0B10">
        <w:rPr>
          <w:rFonts w:ascii="Book Antiqua" w:hAnsi="Book Antiqua"/>
          <w:bCs/>
          <w:i/>
          <w:iCs/>
        </w:rPr>
        <w:t>durante delicto</w:t>
      </w:r>
      <w:r w:rsidRPr="00AC0B10">
        <w:rPr>
          <w:rFonts w:ascii="Book Antiqua" w:hAnsi="Book Antiqua"/>
          <w:bCs/>
        </w:rPr>
        <w:t>) maupun sebelum kejahatan melalui pemberian kesempatan, sarana, atau keterangan. Konstruksi pembantuan hanya bisa dibangun jika dua syarat terpenuhi: adanya kesengajaan (</w:t>
      </w:r>
      <w:r w:rsidRPr="00AC0B10">
        <w:rPr>
          <w:rFonts w:ascii="Book Antiqua" w:hAnsi="Book Antiqua"/>
          <w:bCs/>
          <w:i/>
          <w:iCs/>
        </w:rPr>
        <w:t>opzet</w:t>
      </w:r>
      <w:r w:rsidRPr="00AC0B10">
        <w:rPr>
          <w:rFonts w:ascii="Book Antiqua" w:hAnsi="Book Antiqua"/>
          <w:bCs/>
        </w:rPr>
        <w:t>) pemilik lahan memberi bantuan, dan hubungan kausal antara sikap pasif dengan terlaksananya kejahatan. Jika kesengajaan tidak terbukti, pemilik lahan tidak bisa dimintai pertanggungjawaban pidana atas dasar keikutsertaan.</w:t>
      </w:r>
      <w:r w:rsidR="00524FFA" w:rsidRPr="008C0580">
        <w:rPr>
          <w:rFonts w:ascii="Book Antiqua" w:hAnsi="Book Antiqua"/>
          <w:bCs/>
        </w:rPr>
        <w:t>²</w:t>
      </w:r>
      <w:r w:rsidR="000D1A0E" w:rsidRPr="00994DF3">
        <w:rPr>
          <w:rFonts w:ascii="Book Antiqua" w:hAnsi="Book Antiqua"/>
          <w:bCs/>
        </w:rPr>
        <w:t>¹</w:t>
      </w:r>
    </w:p>
    <w:p w14:paraId="5CC7F601" w14:textId="2A55A047" w:rsidR="005A488C" w:rsidRPr="005A488C" w:rsidRDefault="005A488C" w:rsidP="005A488C">
      <w:pPr>
        <w:spacing w:before="22"/>
        <w:ind w:left="425" w:firstLine="720"/>
        <w:rPr>
          <w:rFonts w:ascii="Book Antiqua" w:hAnsi="Book Antiqua"/>
          <w:b/>
        </w:rPr>
      </w:pPr>
      <w:r w:rsidRPr="005A488C">
        <w:rPr>
          <w:rFonts w:ascii="Book Antiqua" w:hAnsi="Book Antiqua"/>
          <w:b/>
        </w:rPr>
        <w:t>3. Analisis Kasus Penemuan Ladang Ganja di Desa Krisik</w:t>
      </w:r>
    </w:p>
    <w:p w14:paraId="6057A377" w14:textId="31F2897A" w:rsidR="005A488C" w:rsidRPr="005A488C" w:rsidRDefault="005A488C" w:rsidP="00091895">
      <w:pPr>
        <w:spacing w:before="22"/>
        <w:ind w:left="425" w:firstLine="720"/>
        <w:jc w:val="both"/>
        <w:rPr>
          <w:rFonts w:ascii="Book Antiqua" w:hAnsi="Book Antiqua"/>
          <w:bCs/>
        </w:rPr>
      </w:pPr>
      <w:r w:rsidRPr="005A488C">
        <w:rPr>
          <w:rFonts w:ascii="Book Antiqua" w:hAnsi="Book Antiqua"/>
          <w:bCs/>
        </w:rPr>
        <w:t xml:space="preserve">Berdasarkan fakta di Dusun Tirtomoyo Desa Krisik dan Pasal 55 KUHP, sikap pasif pemilik lahan tidak otomatis menjadi </w:t>
      </w:r>
      <w:r w:rsidRPr="00240B41">
        <w:rPr>
          <w:rFonts w:ascii="Book Antiqua" w:hAnsi="Book Antiqua"/>
          <w:bCs/>
          <w:i/>
          <w:iCs/>
        </w:rPr>
        <w:t>mede plegen</w:t>
      </w:r>
      <w:r w:rsidRPr="005A488C">
        <w:rPr>
          <w:rFonts w:ascii="Book Antiqua" w:hAnsi="Book Antiqua"/>
          <w:bCs/>
        </w:rPr>
        <w:t>. Dalam kasus ini, Saiful Anwar adalah pemilik lahan sekaligus penanam dan perawat ganja. Ini berbeda dengan skenario pemilik lahan yang tidak tahu ada penanaman ganja oleh pihak lain.</w:t>
      </w:r>
    </w:p>
    <w:p w14:paraId="7C996110" w14:textId="0688D8B7" w:rsidR="005A488C" w:rsidRPr="005A488C" w:rsidRDefault="005A488C" w:rsidP="00091895">
      <w:pPr>
        <w:spacing w:before="22"/>
        <w:ind w:left="425" w:firstLine="720"/>
        <w:jc w:val="both"/>
        <w:rPr>
          <w:rFonts w:ascii="Book Antiqua" w:hAnsi="Book Antiqua"/>
          <w:bCs/>
        </w:rPr>
      </w:pPr>
      <w:r w:rsidRPr="005A488C">
        <w:rPr>
          <w:rFonts w:ascii="Book Antiqua" w:hAnsi="Book Antiqua"/>
          <w:bCs/>
        </w:rPr>
        <w:t>Penyidik menjelaskan hal pertama yang diperiksa adalah unsur pengetahuan. Pengetahuan tak harus dari informasi langsung saat kejahatan terjadi; rekonstruksi fakta juga bisa menunjukkan seseorang tahu atau sadar. Indikatornya meliputi: apakah pemilik rutin mengakses lokasi dan mengawasi lahannya, apakah ada bukti komunikasi dengan pelaku utama, dan apakah ada transaksi keuangan yang menunjukkan keterlibatan ekonomi.</w:t>
      </w:r>
      <w:r w:rsidR="000D1A0E" w:rsidRPr="00AC0B10">
        <w:rPr>
          <w:rFonts w:ascii="Book Antiqua" w:hAnsi="Book Antiqua"/>
          <w:bCs/>
        </w:rPr>
        <w:t>²</w:t>
      </w:r>
      <w:r w:rsidR="000D1A0E" w:rsidRPr="00DE74C3">
        <w:rPr>
          <w:rFonts w:ascii="Book Antiqua" w:hAnsi="Book Antiqua"/>
          <w:bCs/>
        </w:rPr>
        <w:t>²</w:t>
      </w:r>
    </w:p>
    <w:p w14:paraId="29CAD714" w14:textId="2B457D3A" w:rsidR="005A488C" w:rsidRPr="005A488C" w:rsidRDefault="005A488C" w:rsidP="00091895">
      <w:pPr>
        <w:spacing w:before="22"/>
        <w:ind w:left="425" w:firstLine="720"/>
        <w:jc w:val="both"/>
        <w:rPr>
          <w:rFonts w:ascii="Book Antiqua" w:hAnsi="Book Antiqua"/>
          <w:bCs/>
        </w:rPr>
      </w:pPr>
      <w:r w:rsidRPr="005A488C">
        <w:rPr>
          <w:rFonts w:ascii="Book Antiqua" w:hAnsi="Book Antiqua"/>
          <w:bCs/>
        </w:rPr>
        <w:t xml:space="preserve">Asas </w:t>
      </w:r>
      <w:r w:rsidRPr="00DE6728">
        <w:rPr>
          <w:rFonts w:ascii="Book Antiqua" w:hAnsi="Book Antiqua"/>
          <w:bCs/>
          <w:i/>
          <w:iCs/>
        </w:rPr>
        <w:t>geen straf zonder schuld</w:t>
      </w:r>
      <w:r w:rsidRPr="005A488C">
        <w:rPr>
          <w:rFonts w:ascii="Book Antiqua" w:hAnsi="Book Antiqua"/>
          <w:bCs/>
        </w:rPr>
        <w:t xml:space="preserve"> (tiada pidana tanpa kesalahan) adalah fondasi fundamental hukum pidana Indonesia yang melarang penjatuhan sanksi semata-mata berdasarkan kepemilikan objek, tanpa bukti kesalahan subjektif. Asas ini berkaitan dengan pertanggungjawaban pidana dan menentukan apakah pidana yang dijatuhkan bisa dipertanggungjawabkan.</w:t>
      </w:r>
      <w:r w:rsidR="000D1A0E" w:rsidRPr="00AC0B10">
        <w:rPr>
          <w:rFonts w:ascii="Book Antiqua" w:hAnsi="Book Antiqua"/>
          <w:bCs/>
        </w:rPr>
        <w:t>²</w:t>
      </w:r>
      <w:r w:rsidR="000D1A0E" w:rsidRPr="009A4CEE">
        <w:rPr>
          <w:rFonts w:ascii="Book Antiqua" w:hAnsi="Book Antiqua"/>
          <w:w w:val="105"/>
          <w:lang w:val="en-US"/>
        </w:rPr>
        <w:t>³</w:t>
      </w:r>
    </w:p>
    <w:p w14:paraId="1C062108" w14:textId="7F54EEAC" w:rsidR="005A488C" w:rsidRPr="000D1A0E" w:rsidRDefault="005A488C" w:rsidP="009C264F">
      <w:pPr>
        <w:spacing w:before="22"/>
        <w:ind w:left="425" w:firstLine="720"/>
        <w:jc w:val="both"/>
        <w:rPr>
          <w:rFonts w:ascii="Book Antiqua" w:hAnsi="Book Antiqua"/>
          <w:bCs/>
          <w:lang w:val="en-US"/>
        </w:rPr>
      </w:pPr>
      <w:r w:rsidRPr="005A488C">
        <w:rPr>
          <w:rFonts w:ascii="Book Antiqua" w:hAnsi="Book Antiqua"/>
          <w:bCs/>
        </w:rPr>
        <w:t xml:space="preserve">Namun, dalam sistem hukum pidana Indonesia ada konsep </w:t>
      </w:r>
      <w:r w:rsidRPr="00DE6728">
        <w:rPr>
          <w:rFonts w:ascii="Book Antiqua" w:hAnsi="Book Antiqua"/>
          <w:bCs/>
          <w:i/>
          <w:iCs/>
        </w:rPr>
        <w:t>strict liability</w:t>
      </w:r>
      <w:r w:rsidRPr="005A488C">
        <w:rPr>
          <w:rFonts w:ascii="Book Antiqua" w:hAnsi="Book Antiqua"/>
          <w:bCs/>
        </w:rPr>
        <w:t xml:space="preserve"> atau tanggung jawab mutlak yang berkembang dalam hukum pidana modern, khususnya tindak pidana narkotika. </w:t>
      </w:r>
      <w:r w:rsidRPr="00DE6728">
        <w:rPr>
          <w:rFonts w:ascii="Book Antiqua" w:hAnsi="Book Antiqua"/>
          <w:bCs/>
          <w:i/>
          <w:iCs/>
        </w:rPr>
        <w:t>Strict liability</w:t>
      </w:r>
      <w:r w:rsidRPr="005A488C">
        <w:rPr>
          <w:rFonts w:ascii="Book Antiqua" w:hAnsi="Book Antiqua"/>
          <w:bCs/>
        </w:rPr>
        <w:t xml:space="preserve"> adalah tanggung jawab tanpa pembuktian unsur kesalahan. Pelaku tetap bisa dipidana meski mens rea tidak terbukti, seperti dalam kasus pelanggaran lalu lintas, lingkungan hidup, dan narkotika.</w:t>
      </w:r>
      <w:r w:rsidR="000D1A0E" w:rsidRPr="00EE3E16">
        <w:rPr>
          <w:rFonts w:ascii="Book Antiqua" w:hAnsi="Book Antiqua"/>
          <w:bCs/>
        </w:rPr>
        <w:t>²</w:t>
      </w:r>
      <w:r w:rsidR="000D1A0E" w:rsidRPr="00EE3E16">
        <w:rPr>
          <w:rFonts w:ascii="Times New Roman" w:hAnsi="Times New Roman" w:cs="Times New Roman"/>
          <w:spacing w:val="-12"/>
          <w:w w:val="105"/>
        </w:rPr>
        <w:t>⁴</w:t>
      </w:r>
    </w:p>
    <w:p w14:paraId="6D2FAA2A" w14:textId="19716C77" w:rsidR="00EB3258" w:rsidRDefault="00EB3258" w:rsidP="00BA0A86">
      <w:pPr>
        <w:spacing w:before="22"/>
        <w:ind w:left="425" w:firstLine="720"/>
        <w:jc w:val="both"/>
        <w:rPr>
          <w:rFonts w:ascii="Book Antiqua" w:hAnsi="Book Antiqua"/>
          <w:bCs/>
        </w:rPr>
      </w:pPr>
      <w:r w:rsidRPr="005A488C">
        <w:rPr>
          <w:rFonts w:ascii="Book Antiqua" w:hAnsi="Book Antiqua"/>
          <w:bCs/>
        </w:rPr>
        <w:t xml:space="preserve">Penerapan </w:t>
      </w:r>
      <w:r w:rsidRPr="00DE6728">
        <w:rPr>
          <w:rFonts w:ascii="Book Antiqua" w:hAnsi="Book Antiqua"/>
          <w:bCs/>
          <w:i/>
          <w:iCs/>
        </w:rPr>
        <w:t>strict liability</w:t>
      </w:r>
      <w:r w:rsidRPr="005A488C">
        <w:rPr>
          <w:rFonts w:ascii="Book Antiqua" w:hAnsi="Book Antiqua"/>
          <w:bCs/>
        </w:rPr>
        <w:t xml:space="preserve"> dalam UU Narkotika berdasarkan Pasal 111 yang merumuskan "setiap orang" yang menanam, memelihara, memiliki, menyimpan, menguasai, atau menyediakan Narkotika Golongan I dalam bentuk tanaman tanpa hak atau melawan hukum dapat dipidana. Frasa "setiap orang" menunjukkan subjek hukum yang bisa dipidana tidak terbatas pada pelaku langsung, tapi juga pihak yang menguasai atau menyediakan lahan.</w:t>
      </w:r>
      <w:r w:rsidR="000D1A0E" w:rsidRPr="00EE3E16">
        <w:rPr>
          <w:rFonts w:ascii="Book Antiqua" w:hAnsi="Book Antiqua"/>
          <w:bCs/>
        </w:rPr>
        <w:t>²</w:t>
      </w:r>
      <w:r w:rsidR="000D1A0E" w:rsidRPr="009A4CEE">
        <w:rPr>
          <w:rFonts w:ascii="Times New Roman" w:hAnsi="Times New Roman" w:cs="Times New Roman"/>
          <w:spacing w:val="-12"/>
          <w:w w:val="105"/>
        </w:rPr>
        <w:t>⁵</w:t>
      </w:r>
    </w:p>
    <w:p w14:paraId="4F748A31" w14:textId="44E64BEC" w:rsidR="00DE74C3" w:rsidRPr="005A488C" w:rsidRDefault="00DE74C3" w:rsidP="00DE74C3">
      <w:pPr>
        <w:spacing w:before="22"/>
        <w:jc w:val="both"/>
        <w:rPr>
          <w:rFonts w:ascii="Book Antiqua" w:hAnsi="Book Antiqua"/>
          <w:bCs/>
        </w:rPr>
      </w:pPr>
      <w:r>
        <w:rPr>
          <w:rFonts w:ascii="Book Antiqua" w:hAnsi="Book Antiqua"/>
          <w:noProof/>
          <w:lang w:val="en-US"/>
        </w:rPr>
        <mc:AlternateContent>
          <mc:Choice Requires="wps">
            <w:drawing>
              <wp:anchor distT="0" distB="0" distL="114300" distR="114300" simplePos="0" relativeHeight="251659264" behindDoc="0" locked="0" layoutInCell="1" allowOverlap="1" wp14:anchorId="51FB7992" wp14:editId="06BAF2BC">
                <wp:simplePos x="0" y="0"/>
                <wp:positionH relativeFrom="column">
                  <wp:posOffset>89855</wp:posOffset>
                </wp:positionH>
                <wp:positionV relativeFrom="paragraph">
                  <wp:posOffset>116282</wp:posOffset>
                </wp:positionV>
                <wp:extent cx="2576705"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B14FA" id="Straight Connector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9.15pt" to="21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" strokecolor="black [3040]"/>
            </w:pict>
          </mc:Fallback>
        </mc:AlternateContent>
      </w:r>
    </w:p>
    <w:p w14:paraId="0870FC36" w14:textId="1338CC97" w:rsidR="00DE74C3" w:rsidRPr="00DE74C3" w:rsidRDefault="00010172" w:rsidP="00DE74C3">
      <w:pPr>
        <w:spacing w:before="22"/>
        <w:jc w:val="both"/>
        <w:rPr>
          <w:rFonts w:ascii="Book Antiqua" w:hAnsi="Book Antiqua"/>
          <w:bCs/>
        </w:rPr>
      </w:pPr>
      <w:r w:rsidRPr="008C0580">
        <w:rPr>
          <w:rFonts w:ascii="Book Antiqua" w:hAnsi="Book Antiqua"/>
          <w:bCs/>
        </w:rPr>
        <w:t>²</w:t>
      </w:r>
      <w:r w:rsidRPr="00994DF3">
        <w:rPr>
          <w:rFonts w:ascii="Book Antiqua" w:hAnsi="Book Antiqua"/>
          <w:bCs/>
        </w:rPr>
        <w:t>¹</w:t>
      </w:r>
      <w:r w:rsidR="00DE74C3" w:rsidRPr="00DE74C3">
        <w:rPr>
          <w:rFonts w:ascii="Book Antiqua" w:hAnsi="Book Antiqua"/>
          <w:bCs/>
        </w:rPr>
        <w:t xml:space="preserve"> Hasil wawancara dengan penyidik Satresnarkoba Polres Blitar Kota, 29 November 2025.</w:t>
      </w:r>
    </w:p>
    <w:p w14:paraId="0325D713" w14:textId="6EFD25A9" w:rsidR="00DE74C3" w:rsidRPr="00DE74C3" w:rsidRDefault="00010172" w:rsidP="00DE74C3">
      <w:pPr>
        <w:spacing w:before="22"/>
        <w:jc w:val="both"/>
        <w:rPr>
          <w:rFonts w:ascii="Book Antiqua" w:hAnsi="Book Antiqua"/>
          <w:bCs/>
        </w:rPr>
      </w:pPr>
      <w:r w:rsidRPr="00DE74C3">
        <w:rPr>
          <w:rFonts w:ascii="Book Antiqua" w:hAnsi="Book Antiqua"/>
          <w:bCs/>
        </w:rPr>
        <w:t>²</w:t>
      </w:r>
      <w:r w:rsidRPr="00AC0B10">
        <w:rPr>
          <w:rFonts w:ascii="Book Antiqua" w:hAnsi="Book Antiqua"/>
          <w:bCs/>
        </w:rPr>
        <w:t>²</w:t>
      </w:r>
      <w:r w:rsidR="00C9730E">
        <w:rPr>
          <w:rFonts w:ascii="Book Antiqua" w:hAnsi="Book Antiqua"/>
          <w:w w:val="105"/>
          <w:lang w:val="en-US"/>
        </w:rPr>
        <w:t xml:space="preserve"> </w:t>
      </w:r>
      <w:r w:rsidR="00DE74C3" w:rsidRPr="00DE74C3">
        <w:rPr>
          <w:rFonts w:ascii="Book Antiqua" w:hAnsi="Book Antiqua"/>
          <w:bCs/>
        </w:rPr>
        <w:t>Hasil wawancara dengan penyidik Satresnarkoba Polres Blitar Kota, 30 November 2025.</w:t>
      </w:r>
    </w:p>
    <w:p w14:paraId="0DAFA04C" w14:textId="4BDC9A42" w:rsidR="00DE74C3" w:rsidRPr="00DE74C3" w:rsidRDefault="009C264F" w:rsidP="00DE74C3">
      <w:pPr>
        <w:spacing w:before="22"/>
        <w:jc w:val="both"/>
        <w:rPr>
          <w:rFonts w:ascii="Book Antiqua" w:hAnsi="Book Antiqua"/>
          <w:bCs/>
        </w:rPr>
      </w:pPr>
      <w:r w:rsidRPr="00EE3E16">
        <w:rPr>
          <w:rFonts w:ascii="Book Antiqua" w:hAnsi="Book Antiqua"/>
          <w:bCs/>
        </w:rPr>
        <w:t>²</w:t>
      </w:r>
      <w:r w:rsidR="00010172" w:rsidRPr="009A4CEE">
        <w:rPr>
          <w:rFonts w:ascii="Book Antiqua" w:hAnsi="Book Antiqua"/>
          <w:w w:val="105"/>
          <w:lang w:val="en-US"/>
        </w:rPr>
        <w:t>³</w:t>
      </w:r>
      <w:r w:rsidR="00DE74C3" w:rsidRPr="00DE74C3">
        <w:rPr>
          <w:rFonts w:ascii="Book Antiqua" w:hAnsi="Book Antiqua"/>
          <w:bCs/>
        </w:rPr>
        <w:t xml:space="preserve"> Hapid, Suntana, and Royani, "</w:t>
      </w:r>
      <w:r w:rsidR="00DE74C3" w:rsidRPr="00A72CFC">
        <w:rPr>
          <w:rFonts w:ascii="Book Antiqua" w:hAnsi="Book Antiqua"/>
          <w:bCs/>
          <w:i/>
          <w:iCs/>
        </w:rPr>
        <w:t>Penerapan Asas Geen Straf Zonder Schuld</w:t>
      </w:r>
      <w:r w:rsidR="00DE74C3" w:rsidRPr="00DE74C3">
        <w:rPr>
          <w:rFonts w:ascii="Book Antiqua" w:hAnsi="Book Antiqua"/>
          <w:bCs/>
        </w:rPr>
        <w:t>," 6.</w:t>
      </w:r>
    </w:p>
    <w:p w14:paraId="4A3F3898" w14:textId="26A5DF17" w:rsidR="00DE74C3" w:rsidRDefault="00010172" w:rsidP="009C264F">
      <w:pPr>
        <w:spacing w:before="22"/>
        <w:jc w:val="both"/>
        <w:rPr>
          <w:rFonts w:ascii="Book Antiqua" w:hAnsi="Book Antiqua"/>
          <w:bCs/>
        </w:rPr>
      </w:pPr>
      <w:r w:rsidRPr="00194F8E">
        <w:rPr>
          <w:rFonts w:ascii="Book Antiqua" w:hAnsi="Book Antiqua"/>
          <w:bCs/>
        </w:rPr>
        <w:t>²</w:t>
      </w:r>
      <w:r w:rsidRPr="00194F8E">
        <w:rPr>
          <w:rFonts w:ascii="Times New Roman" w:hAnsi="Times New Roman" w:cs="Times New Roman"/>
          <w:spacing w:val="-12"/>
          <w:w w:val="105"/>
        </w:rPr>
        <w:t>⁴</w:t>
      </w:r>
      <w:r w:rsidR="00DE74C3" w:rsidRPr="00DE74C3">
        <w:rPr>
          <w:rFonts w:ascii="Book Antiqua" w:hAnsi="Book Antiqua"/>
          <w:bCs/>
        </w:rPr>
        <w:t xml:space="preserve"> Suud, "</w:t>
      </w:r>
      <w:r w:rsidR="00DE74C3" w:rsidRPr="00BE60D7">
        <w:rPr>
          <w:rFonts w:ascii="Book Antiqua" w:hAnsi="Book Antiqua"/>
          <w:bCs/>
          <w:i/>
          <w:iCs/>
        </w:rPr>
        <w:t>Analisis Penerapan Konsep Pertanggungjawaban Mutlak (Strict Liability) Dalam Kasus Korupsi,</w:t>
      </w:r>
      <w:r w:rsidR="00DE74C3" w:rsidRPr="00DE74C3">
        <w:rPr>
          <w:rFonts w:ascii="Book Antiqua" w:hAnsi="Book Antiqua"/>
          <w:bCs/>
        </w:rPr>
        <w:t>" 155.</w:t>
      </w:r>
    </w:p>
    <w:p w14:paraId="0BA17C78" w14:textId="062D709F" w:rsidR="00EB3258" w:rsidRDefault="00010172" w:rsidP="00DE74C3">
      <w:pPr>
        <w:spacing w:before="22"/>
        <w:jc w:val="both"/>
        <w:rPr>
          <w:rFonts w:ascii="Book Antiqua" w:hAnsi="Book Antiqua"/>
          <w:bCs/>
        </w:rPr>
      </w:pPr>
      <w:r w:rsidRPr="00197912">
        <w:rPr>
          <w:rFonts w:ascii="Book Antiqua" w:hAnsi="Book Antiqua"/>
          <w:bCs/>
        </w:rPr>
        <w:t>²</w:t>
      </w:r>
      <w:r w:rsidRPr="00197912">
        <w:rPr>
          <w:rFonts w:ascii="Times New Roman" w:hAnsi="Times New Roman" w:cs="Times New Roman"/>
          <w:spacing w:val="-12"/>
          <w:w w:val="105"/>
        </w:rPr>
        <w:t>⁵</w:t>
      </w:r>
      <w:r w:rsidR="00EB3258" w:rsidRPr="00EB3258">
        <w:rPr>
          <w:rFonts w:ascii="Book Antiqua" w:hAnsi="Book Antiqua"/>
          <w:bCs/>
        </w:rPr>
        <w:t xml:space="preserve"> Pasal 111 Undang-Undang Nomor 35 Tahun 2009 tentang Narkotika.</w:t>
      </w:r>
    </w:p>
    <w:p w14:paraId="37D37825" w14:textId="4790C837" w:rsidR="007237E1" w:rsidRDefault="007237E1" w:rsidP="00DE74C3">
      <w:pPr>
        <w:spacing w:before="22"/>
        <w:jc w:val="both"/>
        <w:rPr>
          <w:rFonts w:ascii="Book Antiqua" w:hAnsi="Book Antiqua"/>
          <w:bCs/>
        </w:rPr>
      </w:pPr>
    </w:p>
    <w:p w14:paraId="185DCC7C" w14:textId="77777777" w:rsidR="008050F7" w:rsidRDefault="008050F7" w:rsidP="00DE74C3">
      <w:pPr>
        <w:spacing w:before="22"/>
        <w:jc w:val="both"/>
        <w:rPr>
          <w:rFonts w:ascii="Book Antiqua" w:hAnsi="Book Antiqua"/>
          <w:bCs/>
        </w:rPr>
      </w:pPr>
    </w:p>
    <w:p w14:paraId="14CBC0E2" w14:textId="48AD75DF" w:rsidR="005A488C" w:rsidRPr="00AA18B1" w:rsidRDefault="005A488C" w:rsidP="00EB3258">
      <w:pPr>
        <w:spacing w:before="22"/>
        <w:ind w:left="425" w:firstLine="720"/>
        <w:jc w:val="both"/>
        <w:rPr>
          <w:rFonts w:ascii="Book Antiqua" w:hAnsi="Book Antiqua"/>
          <w:bCs/>
        </w:rPr>
      </w:pPr>
      <w:r w:rsidRPr="005A488C">
        <w:rPr>
          <w:rFonts w:ascii="Book Antiqua" w:hAnsi="Book Antiqua"/>
          <w:bCs/>
        </w:rPr>
        <w:lastRenderedPageBreak/>
        <w:t>Dari wawancara dengan masyarakat sekitar, ada indikator menilai apakah ketidaktahuan pemilik bisa dipersalahkan</w:t>
      </w:r>
      <w:r w:rsidR="00DF5617">
        <w:rPr>
          <w:rFonts w:ascii="Book Antiqua" w:hAnsi="Book Antiqua"/>
          <w:bCs/>
          <w:lang w:val="en-US"/>
        </w:rPr>
        <w:t xml:space="preserve"> </w:t>
      </w:r>
      <w:r w:rsidRPr="005A488C">
        <w:rPr>
          <w:rFonts w:ascii="Book Antiqua" w:hAnsi="Book Antiqua"/>
          <w:bCs/>
        </w:rPr>
        <w:t xml:space="preserve">keterangan saksi tentang perilaku pemilik (sering memeriksa lahan atau absen berbulan-bulan), keterangan aktivitas mencurigakan (orang asing sering masuk), dan durasi tanaman terlihat (di pekarangan belakang dengan struktur tanah terasing dan </w:t>
      </w:r>
      <w:r w:rsidRPr="00E17E48">
        <w:rPr>
          <w:rFonts w:ascii="Book Antiqua" w:hAnsi="Book Antiqua"/>
          <w:bCs/>
          <w:i/>
          <w:iCs/>
        </w:rPr>
        <w:t>polybag</w:t>
      </w:r>
      <w:r w:rsidRPr="005A488C">
        <w:rPr>
          <w:rFonts w:ascii="Book Antiqua" w:hAnsi="Book Antiqua"/>
          <w:bCs/>
        </w:rPr>
        <w:t>).</w:t>
      </w:r>
      <w:r w:rsidR="008C5E87" w:rsidRPr="008C5E87">
        <w:rPr>
          <w:rFonts w:ascii="Book Antiqua" w:hAnsi="Book Antiqua"/>
          <w:bCs/>
        </w:rPr>
        <w:t xml:space="preserve"> </w:t>
      </w:r>
      <w:r w:rsidR="00524FFA" w:rsidRPr="00EE3E16">
        <w:rPr>
          <w:rFonts w:ascii="Book Antiqua" w:hAnsi="Book Antiqua"/>
          <w:bCs/>
        </w:rPr>
        <w:t>²</w:t>
      </w:r>
      <w:r w:rsidR="00524FFA" w:rsidRPr="00994DF3">
        <w:rPr>
          <w:rFonts w:ascii="Times New Roman" w:hAnsi="Times New Roman" w:cs="Times New Roman"/>
          <w:bCs/>
        </w:rPr>
        <w:t>⁶</w:t>
      </w:r>
    </w:p>
    <w:p w14:paraId="1C599021" w14:textId="77777777" w:rsidR="006D43CD" w:rsidRDefault="006D43CD" w:rsidP="006D43CD">
      <w:pPr>
        <w:spacing w:before="2" w:line="254" w:lineRule="auto"/>
        <w:ind w:right="11"/>
        <w:jc w:val="both"/>
        <w:rPr>
          <w:sz w:val="20"/>
        </w:rPr>
      </w:pPr>
    </w:p>
    <w:p w14:paraId="2742CD99" w14:textId="6F518B23" w:rsidR="00363FDB" w:rsidRDefault="006D43CD" w:rsidP="006D43CD">
      <w:pPr>
        <w:spacing w:before="2" w:line="254" w:lineRule="auto"/>
        <w:ind w:right="11"/>
        <w:jc w:val="both"/>
        <w:rPr>
          <w:rFonts w:ascii="Book Antiqua" w:hAnsi="Book Antiqua"/>
          <w:b/>
          <w:bCs/>
          <w:lang w:val="en-US"/>
        </w:rPr>
      </w:pPr>
      <w:r w:rsidRPr="006D43CD">
        <w:rPr>
          <w:rFonts w:ascii="Book Antiqua" w:hAnsi="Book Antiqua"/>
          <w:b/>
          <w:bCs/>
          <w:lang w:val="en-US"/>
        </w:rPr>
        <w:t>PENUTUP</w:t>
      </w:r>
    </w:p>
    <w:p w14:paraId="154F7769" w14:textId="2653ABF0" w:rsidR="00363FDB" w:rsidRPr="00363FDB" w:rsidRDefault="00363FDB" w:rsidP="00363FDB">
      <w:pPr>
        <w:spacing w:before="2" w:line="254" w:lineRule="auto"/>
        <w:ind w:right="11"/>
        <w:jc w:val="both"/>
        <w:rPr>
          <w:rFonts w:ascii="Book Antiqua" w:hAnsi="Book Antiqua"/>
          <w:b/>
          <w:bCs/>
          <w:lang w:val="en-US"/>
        </w:rPr>
      </w:pPr>
      <w:r w:rsidRPr="00363FDB">
        <w:rPr>
          <w:rFonts w:ascii="Book Antiqua" w:hAnsi="Book Antiqua"/>
          <w:b/>
          <w:bCs/>
          <w:lang w:val="en-US"/>
        </w:rPr>
        <w:t>Kesimpulan</w:t>
      </w:r>
    </w:p>
    <w:p w14:paraId="6879B826" w14:textId="32158079" w:rsidR="00363FDB" w:rsidRDefault="00363FDB" w:rsidP="00F9541A">
      <w:pPr>
        <w:spacing w:before="2"/>
        <w:ind w:right="11" w:firstLine="720"/>
        <w:jc w:val="both"/>
        <w:rPr>
          <w:rFonts w:ascii="Book Antiqua" w:hAnsi="Book Antiqua"/>
          <w:lang w:val="en-US"/>
        </w:rPr>
      </w:pPr>
      <w:r w:rsidRPr="00363FDB">
        <w:rPr>
          <w:rFonts w:ascii="Book Antiqua" w:hAnsi="Book Antiqua"/>
          <w:lang w:val="en-US"/>
        </w:rPr>
        <w:t>Berdasarkan analisis hukum terhadap fakta di Desa Krisik, pengakuan tidak tahu</w:t>
      </w:r>
      <w:r w:rsidRPr="00363FDB">
        <w:rPr>
          <w:rFonts w:ascii="Book Antiqua" w:hAnsi="Book Antiqua"/>
          <w:b/>
          <w:bCs/>
          <w:lang w:val="en-US"/>
        </w:rPr>
        <w:t xml:space="preserve"> </w:t>
      </w:r>
      <w:r w:rsidRPr="00363FDB">
        <w:rPr>
          <w:rFonts w:ascii="Book Antiqua" w:hAnsi="Book Antiqua"/>
          <w:lang w:val="en-US"/>
        </w:rPr>
        <w:t>adanya ganja di tanahnya adalah pembelaan yang menyerang unsur kesalahan (</w:t>
      </w:r>
      <w:r w:rsidRPr="00363FDB">
        <w:rPr>
          <w:rFonts w:ascii="Book Antiqua" w:hAnsi="Book Antiqua"/>
          <w:i/>
          <w:iCs/>
          <w:lang w:val="en-US"/>
        </w:rPr>
        <w:t>mens rea</w:t>
      </w:r>
      <w:r w:rsidRPr="00363FDB">
        <w:rPr>
          <w:rFonts w:ascii="Book Antiqua" w:hAnsi="Book Antiqua"/>
          <w:lang w:val="en-US"/>
        </w:rPr>
        <w:t>). Pasal 111 ayat (1) dan (2) UU Narkotika memuat unsur objektif luas seperti "menguasai" atau "menyediakan". Dalam hukum narkotika, kepemilikan lahan dianggap otomatis ada pada pemilik sebagai tanggung jawab ketat. Namun "tidak tahu" tak otomatis menghapus tanggung jawab. Pemilik punya kewajiban menjaga dan mengawasi propertinya. Jika ketidaktahuan muncul dari kelalaian berat (</w:t>
      </w:r>
      <w:r w:rsidRPr="00363FDB">
        <w:rPr>
          <w:rFonts w:ascii="Book Antiqua" w:hAnsi="Book Antiqua"/>
          <w:i/>
          <w:iCs/>
          <w:lang w:val="en-US"/>
        </w:rPr>
        <w:t>culpa lata</w:t>
      </w:r>
      <w:r w:rsidRPr="00363FDB">
        <w:rPr>
          <w:rFonts w:ascii="Book Antiqua" w:hAnsi="Book Antiqua"/>
          <w:lang w:val="en-US"/>
        </w:rPr>
        <w:t>) atau pengabaian sengaja, kelalaian bisa jadi dasar memenuhi unsur kesalahan. Penyidik akan memeriksa fakta objektif seperti tingkat kunjungan, interaksi dengan pelaku, dan aliran dana untuk membuktikan ketidaktahuan yang disampaikan.</w:t>
      </w:r>
      <w:r w:rsidR="00F9541A">
        <w:rPr>
          <w:rFonts w:ascii="Book Antiqua" w:hAnsi="Book Antiqua"/>
          <w:lang w:val="en-US"/>
        </w:rPr>
        <w:t xml:space="preserve"> </w:t>
      </w:r>
      <w:r w:rsidRPr="00363FDB">
        <w:rPr>
          <w:rFonts w:ascii="Book Antiqua" w:hAnsi="Book Antiqua"/>
          <w:lang w:val="en-US"/>
        </w:rPr>
        <w:t xml:space="preserve">Sikap tidak aktif atau kelalaian pemilik tanah tidak bisa langsung dianggap sebagai penyertaan dalam tindak pidana narkotika sesuai Pasal 55 KUHP. </w:t>
      </w:r>
      <w:r w:rsidRPr="00484EB7">
        <w:rPr>
          <w:rFonts w:ascii="Book Antiqua" w:hAnsi="Book Antiqua"/>
          <w:i/>
          <w:iCs/>
          <w:lang w:val="en-US"/>
        </w:rPr>
        <w:t>Mede plegen</w:t>
      </w:r>
      <w:r w:rsidRPr="00363FDB">
        <w:rPr>
          <w:rFonts w:ascii="Book Antiqua" w:hAnsi="Book Antiqua"/>
          <w:lang w:val="en-US"/>
        </w:rPr>
        <w:t xml:space="preserve"> mensyaratkan kerja sama sadar dan pelaksanaan fisik bersama. Pemilik lahan yang pasif atau tak hadir saat penanaman tidak memenuhi unsur ini. Namun jika terbukti sikap pasif dilakukan sengaja untuk memberi kesempatan, sarana, atau kemudahan, tindakan pemilik bisa diklasifikasikan sebagai pembantu (</w:t>
      </w:r>
      <w:r w:rsidRPr="00484EB7">
        <w:rPr>
          <w:rFonts w:ascii="Book Antiqua" w:hAnsi="Book Antiqua"/>
          <w:i/>
          <w:iCs/>
          <w:lang w:val="en-US"/>
        </w:rPr>
        <w:t>medeplichtigheid</w:t>
      </w:r>
      <w:r w:rsidRPr="00363FDB">
        <w:rPr>
          <w:rFonts w:ascii="Book Antiqua" w:hAnsi="Book Antiqua"/>
          <w:lang w:val="en-US"/>
        </w:rPr>
        <w:t>) sesuai Pasal 56 KUHP. Jika kesengajaan atau hubungan kausal tak terbukti, berdasarkan asas tiada pidana tanpa kesalahan, pemilik lahan tak bisa dituntut hanya karena status kepemilikan</w:t>
      </w:r>
      <w:r w:rsidRPr="00363FDB">
        <w:rPr>
          <w:rFonts w:ascii="Book Antiqua" w:hAnsi="Book Antiqua"/>
          <w:b/>
          <w:bCs/>
          <w:lang w:val="en-US"/>
        </w:rPr>
        <w:t xml:space="preserve"> </w:t>
      </w:r>
      <w:r w:rsidRPr="00221694">
        <w:rPr>
          <w:rFonts w:ascii="Book Antiqua" w:hAnsi="Book Antiqua"/>
          <w:lang w:val="en-US"/>
        </w:rPr>
        <w:t>tanah.</w:t>
      </w:r>
    </w:p>
    <w:p w14:paraId="5D3CAAFC" w14:textId="77777777" w:rsidR="00B42AAC" w:rsidRDefault="00B42AAC" w:rsidP="00B42AAC">
      <w:pPr>
        <w:spacing w:before="2"/>
        <w:ind w:right="11"/>
        <w:jc w:val="both"/>
        <w:rPr>
          <w:rFonts w:ascii="Book Antiqua" w:hAnsi="Book Antiqua"/>
          <w:lang w:val="en-US"/>
        </w:rPr>
      </w:pPr>
    </w:p>
    <w:p w14:paraId="5490D709" w14:textId="63C745DE" w:rsidR="00B42AAC" w:rsidRPr="00B42AAC" w:rsidRDefault="00B42AAC" w:rsidP="003A0CCB">
      <w:pPr>
        <w:spacing w:before="2"/>
        <w:ind w:right="11"/>
        <w:jc w:val="both"/>
        <w:rPr>
          <w:rFonts w:ascii="Book Antiqua" w:hAnsi="Book Antiqua"/>
          <w:b/>
          <w:bCs/>
          <w:lang w:val="en-US"/>
        </w:rPr>
      </w:pPr>
      <w:r w:rsidRPr="00B42AAC">
        <w:rPr>
          <w:rFonts w:ascii="Book Antiqua" w:hAnsi="Book Antiqua"/>
          <w:b/>
          <w:bCs/>
          <w:lang w:val="en-US"/>
        </w:rPr>
        <w:t>Saran</w:t>
      </w:r>
    </w:p>
    <w:p w14:paraId="2447A408" w14:textId="77777777" w:rsidR="00091895" w:rsidRDefault="00F9541A" w:rsidP="00091895">
      <w:pPr>
        <w:spacing w:before="2"/>
        <w:ind w:right="11"/>
        <w:jc w:val="both"/>
        <w:rPr>
          <w:rFonts w:ascii="Book Antiqua" w:hAnsi="Book Antiqua"/>
          <w:lang w:val="en-US"/>
        </w:rPr>
      </w:pPr>
      <w:r w:rsidRPr="00F9541A">
        <w:rPr>
          <w:rFonts w:ascii="Book Antiqua" w:hAnsi="Book Antiqua"/>
          <w:lang w:val="en-US"/>
        </w:rPr>
        <w:t>Aparat penegak hukum, khususnya Satresnarkoba Polres Blitar Kota, hendaknya tidak terburu-buru menetapkan tersangka penyertaan (</w:t>
      </w:r>
      <w:r w:rsidRPr="00F9541A">
        <w:rPr>
          <w:rFonts w:ascii="Book Antiqua" w:hAnsi="Book Antiqua"/>
          <w:i/>
          <w:iCs/>
          <w:lang w:val="en-US"/>
        </w:rPr>
        <w:t>mede plegen</w:t>
      </w:r>
      <w:r w:rsidRPr="00F9541A">
        <w:rPr>
          <w:rFonts w:ascii="Book Antiqua" w:hAnsi="Book Antiqua"/>
          <w:lang w:val="en-US"/>
        </w:rPr>
        <w:t xml:space="preserve">) hanya berdasarkan praduga penguasaan fisik atas tanah, melainkan lebih cermat menggali fakta guna membuktikan unsur sikap batin baik kesengajaan maupun kelalaian dengan bertumpu pada indikator terukur seperti pelacakan aliran dana, pemeriksaan riwayat komunikasi digital secara forensik, dan pengukuran intensitas kehadiran pemilik di lokasi, agar kebijakan </w:t>
      </w:r>
      <w:r w:rsidRPr="00F9541A">
        <w:rPr>
          <w:rFonts w:ascii="Book Antiqua" w:hAnsi="Book Antiqua"/>
          <w:i/>
          <w:iCs/>
          <w:lang w:val="en-US"/>
        </w:rPr>
        <w:t>zero tolerance</w:t>
      </w:r>
      <w:r w:rsidRPr="00F9541A">
        <w:rPr>
          <w:rFonts w:ascii="Book Antiqua" w:hAnsi="Book Antiqua"/>
          <w:lang w:val="en-US"/>
        </w:rPr>
        <w:t xml:space="preserve"> tetap sejalan dengan asas legalitas dan asas kesalahan sehingga terhindar dari kriminalisasi tidak adil terhadap pemilik lahan yang sesungguhnya menjadi korban. Masyarakat terutama pemilik lahan di pedesaan terpencil seperti Desa Krisik diharapkan lebih waspada dan menjalankan tanggung jawab pengawasan aktif terhadap tanah miliknya, tidak boleh lalai terlebih jika tanahnya disewakan atau dikelola orang lain karena berimplikasi pada tanggung jawab pidana, sedangkan bagi pembentuk undang-undang disarankan merumuskan norma lebih jelas dalam revisi UU Narkotika dengan penegasan batas penerapan prinsip tanggung jawab mutlak bagi pemilik tempat kejadian serta alternatif sanksi berupa pembebanan biaya rehabilitasi korban narkotika kepada pemilik lahan yang terbukti lalai dan membiarkan tanahnya digunakan sebagai </w:t>
      </w:r>
    </w:p>
    <w:p w14:paraId="63CB1DF3" w14:textId="0F691D40" w:rsidR="00EB3258" w:rsidRDefault="00F9541A" w:rsidP="00EB3258">
      <w:pPr>
        <w:spacing w:before="2"/>
        <w:ind w:right="11"/>
        <w:rPr>
          <w:rFonts w:ascii="Book Antiqua" w:hAnsi="Book Antiqua"/>
          <w:lang w:val="en-US"/>
        </w:rPr>
      </w:pPr>
      <w:r w:rsidRPr="00F9541A">
        <w:rPr>
          <w:rFonts w:ascii="Book Antiqua" w:hAnsi="Book Antiqua"/>
          <w:lang w:val="en-US"/>
        </w:rPr>
        <w:t>sarana produksi narkoba.</w:t>
      </w:r>
    </w:p>
    <w:p w14:paraId="6E43116D" w14:textId="1E00868C" w:rsidR="00EB3258" w:rsidRDefault="00EB3258" w:rsidP="00EB3258">
      <w:pPr>
        <w:spacing w:before="2"/>
        <w:ind w:right="11"/>
        <w:rPr>
          <w:rFonts w:ascii="Book Antiqua" w:hAnsi="Book Antiqua"/>
          <w:lang w:val="en-US"/>
        </w:rPr>
      </w:pPr>
    </w:p>
    <w:p w14:paraId="0248CD92" w14:textId="77777777" w:rsidR="00EB3258" w:rsidRPr="005A488C" w:rsidRDefault="00EB3258" w:rsidP="00EB3258">
      <w:pPr>
        <w:spacing w:before="22"/>
        <w:jc w:val="both"/>
        <w:rPr>
          <w:rFonts w:ascii="Book Antiqua" w:hAnsi="Book Antiqua"/>
          <w:bCs/>
        </w:rPr>
      </w:pPr>
      <w:r>
        <w:rPr>
          <w:rFonts w:ascii="Book Antiqua" w:hAnsi="Book Antiqua"/>
          <w:noProof/>
          <w:lang w:val="en-US"/>
        </w:rPr>
        <mc:AlternateContent>
          <mc:Choice Requires="wps">
            <w:drawing>
              <wp:anchor distT="0" distB="0" distL="114300" distR="114300" simplePos="0" relativeHeight="251673600" behindDoc="0" locked="0" layoutInCell="1" allowOverlap="1" wp14:anchorId="4D5CA568" wp14:editId="76425AB3">
                <wp:simplePos x="0" y="0"/>
                <wp:positionH relativeFrom="column">
                  <wp:posOffset>89855</wp:posOffset>
                </wp:positionH>
                <wp:positionV relativeFrom="paragraph">
                  <wp:posOffset>116282</wp:posOffset>
                </wp:positionV>
                <wp:extent cx="257670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257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42F69" id="Straight Connector 1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9.15pt" to="21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" strokecolor="black [3040]"/>
            </w:pict>
          </mc:Fallback>
        </mc:AlternateContent>
      </w:r>
    </w:p>
    <w:p w14:paraId="71F27D20" w14:textId="7C20691B" w:rsidR="00EB3258" w:rsidRPr="00B42AAC" w:rsidRDefault="00445C63" w:rsidP="00091895">
      <w:pPr>
        <w:spacing w:before="2"/>
        <w:ind w:right="11"/>
        <w:rPr>
          <w:rFonts w:ascii="Book Antiqua" w:hAnsi="Book Antiqua"/>
          <w:lang w:val="en-US"/>
        </w:rPr>
        <w:sectPr w:rsidR="00EB3258" w:rsidRPr="00B42AAC" w:rsidSect="00A35C11">
          <w:footerReference w:type="default" r:id="rId8"/>
          <w:pgSz w:w="11910" w:h="16840"/>
          <w:pgMar w:top="1440" w:right="1440" w:bottom="1440" w:left="1701" w:header="0" w:footer="567" w:gutter="0"/>
          <w:pgNumType w:start="1" w:chapStyle="1" w:chapSep="colon"/>
          <w:cols w:space="720"/>
          <w:docGrid w:linePitch="299"/>
        </w:sectPr>
      </w:pPr>
      <w:r w:rsidRPr="00EE3E16">
        <w:rPr>
          <w:rFonts w:ascii="Book Antiqua" w:hAnsi="Book Antiqua"/>
          <w:bCs/>
        </w:rPr>
        <w:t>²</w:t>
      </w:r>
      <w:r w:rsidRPr="00994DF3">
        <w:rPr>
          <w:rFonts w:ascii="Times New Roman" w:hAnsi="Times New Roman" w:cs="Times New Roman"/>
          <w:bCs/>
        </w:rPr>
        <w:t>⁶</w:t>
      </w:r>
      <w:r w:rsidR="00EB3258" w:rsidRPr="00EB3258">
        <w:rPr>
          <w:rFonts w:ascii="Book Antiqua" w:hAnsi="Book Antiqua"/>
          <w:bCs/>
        </w:rPr>
        <w:t xml:space="preserve"> Hasil wawancara dengan masyarakat sekitar Desa Krisik, 24 Mei 2026.</w:t>
      </w:r>
    </w:p>
    <w:p w14:paraId="0C54BBD7" w14:textId="05DF8944" w:rsidR="00CF3ACF" w:rsidRDefault="004A52CB" w:rsidP="00067400">
      <w:pPr>
        <w:pStyle w:val="Heading2"/>
        <w:ind w:left="0"/>
        <w:jc w:val="center"/>
        <w:rPr>
          <w:spacing w:val="-2"/>
        </w:rPr>
      </w:pPr>
      <w:r>
        <w:lastRenderedPageBreak/>
        <w:t>DAFTAR</w:t>
      </w:r>
      <w:r>
        <w:rPr>
          <w:spacing w:val="-3"/>
        </w:rPr>
        <w:t xml:space="preserve"> </w:t>
      </w:r>
      <w:r>
        <w:rPr>
          <w:spacing w:val="-2"/>
        </w:rPr>
        <w:t>PUSTAKA</w:t>
      </w:r>
    </w:p>
    <w:p w14:paraId="6BA1B098" w14:textId="77777777" w:rsidR="001C1FB0" w:rsidRDefault="001C1FB0" w:rsidP="00067400">
      <w:pPr>
        <w:pStyle w:val="Heading2"/>
        <w:ind w:left="0"/>
        <w:jc w:val="center"/>
      </w:pPr>
    </w:p>
    <w:p w14:paraId="0C9CAEDF" w14:textId="77777777" w:rsidR="00A92534" w:rsidRDefault="00A92534" w:rsidP="00A92534">
      <w:pPr>
        <w:ind w:left="720" w:hanging="720"/>
      </w:pPr>
      <w:r w:rsidRPr="00A45833">
        <w:rPr>
          <w:w w:val="105"/>
        </w:rPr>
        <w:t xml:space="preserve">Hakim, L. (2020). </w:t>
      </w:r>
      <w:r w:rsidRPr="00BC1055">
        <w:rPr>
          <w:b/>
          <w:bCs/>
          <w:i/>
          <w:iCs/>
          <w:w w:val="105"/>
        </w:rPr>
        <w:t>Asas-asas hukum pidana buku ajar bagi mahasiswa</w:t>
      </w:r>
      <w:r w:rsidRPr="00A45833">
        <w:rPr>
          <w:w w:val="105"/>
        </w:rPr>
        <w:t>. Deepublish.</w:t>
      </w:r>
    </w:p>
    <w:p w14:paraId="71ED6AE3" w14:textId="77777777" w:rsidR="00A92534" w:rsidRDefault="00A92534" w:rsidP="00A92534">
      <w:pPr>
        <w:ind w:left="720" w:hanging="720"/>
        <w:jc w:val="both"/>
        <w:rPr>
          <w:rFonts w:ascii="Book Antiqua" w:hAnsi="Book Antiqua"/>
          <w:w w:val="105"/>
          <w:lang w:val="en-US"/>
        </w:rPr>
      </w:pPr>
      <w:r w:rsidRPr="003617B3">
        <w:rPr>
          <w:rFonts w:ascii="Book Antiqua" w:hAnsi="Book Antiqua"/>
          <w:w w:val="105"/>
        </w:rPr>
        <w:t xml:space="preserve">Hapid, F. M., Suntana, I., &amp; Royani, M. Y. (2024). Penerapan asas Geen Straf Zonder Schuld dalam penindakan terhadap kejahatan penyalahgunaan teknologi Deepfake. </w:t>
      </w:r>
      <w:r w:rsidRPr="003617B3">
        <w:rPr>
          <w:rFonts w:ascii="Book Antiqua" w:hAnsi="Book Antiqua"/>
          <w:b/>
          <w:bCs/>
          <w:i/>
          <w:iCs/>
          <w:w w:val="105"/>
        </w:rPr>
        <w:t>Jurnal USM Law Review</w:t>
      </w:r>
      <w:r w:rsidRPr="003617B3">
        <w:rPr>
          <w:rFonts w:ascii="Book Antiqua" w:hAnsi="Book Antiqua"/>
          <w:w w:val="105"/>
        </w:rPr>
        <w:t>, 7(3), 1155-1174.</w:t>
      </w:r>
      <w:r>
        <w:rPr>
          <w:rFonts w:ascii="Book Antiqua" w:hAnsi="Book Antiqua"/>
          <w:w w:val="105"/>
          <w:lang w:val="en-US"/>
        </w:rPr>
        <w:t xml:space="preserve"> </w:t>
      </w:r>
      <w:hyperlink r:id="rId9" w:history="1">
        <w:r w:rsidRPr="006A6C92">
          <w:rPr>
            <w:rStyle w:val="Hyperlink"/>
            <w:rFonts w:ascii="Book Antiqua" w:hAnsi="Book Antiqua"/>
            <w:color w:val="auto"/>
            <w:w w:val="105"/>
            <w:lang w:val="en-US"/>
          </w:rPr>
          <w:t>https://journals.usm.ac.id/index.php/julr/article/view/9686</w:t>
        </w:r>
      </w:hyperlink>
      <w:r w:rsidRPr="006A6C92">
        <w:rPr>
          <w:rFonts w:ascii="Book Antiqua" w:hAnsi="Book Antiqua"/>
          <w:w w:val="105"/>
          <w:lang w:val="en-US"/>
        </w:rPr>
        <w:t>,</w:t>
      </w:r>
      <w:r>
        <w:rPr>
          <w:rFonts w:ascii="Book Antiqua" w:hAnsi="Book Antiqua"/>
          <w:w w:val="105"/>
          <w:lang w:val="en-US"/>
        </w:rPr>
        <w:t xml:space="preserve"> diakses pada tanggal 18 Juli 2026</w:t>
      </w:r>
    </w:p>
    <w:p w14:paraId="3C2A8A6A" w14:textId="77777777" w:rsidR="00A92534" w:rsidRDefault="00A92534" w:rsidP="00A92534">
      <w:pPr>
        <w:ind w:left="720" w:hanging="720"/>
        <w:jc w:val="both"/>
      </w:pPr>
      <w:r w:rsidRPr="000D690A">
        <w:rPr>
          <w:rFonts w:ascii="Book Antiqua" w:hAnsi="Book Antiqua"/>
        </w:rPr>
        <w:t>Herijaya, "</w:t>
      </w:r>
      <w:r w:rsidRPr="000D690A">
        <w:rPr>
          <w:rFonts w:ascii="Book Antiqua" w:hAnsi="Book Antiqua"/>
          <w:i/>
          <w:iCs/>
        </w:rPr>
        <w:t>Kenapa Tidak Tahu Hukum Tetap Salah</w:t>
      </w:r>
      <w:r w:rsidRPr="000D690A">
        <w:rPr>
          <w:rFonts w:ascii="Book Antiqua" w:hAnsi="Book Antiqua"/>
        </w:rPr>
        <w:t>,"</w:t>
      </w:r>
      <w:r>
        <w:rPr>
          <w:rFonts w:ascii="Book Antiqua" w:hAnsi="Book Antiqua"/>
          <w:lang w:val="en-US"/>
        </w:rPr>
        <w:t xml:space="preserve"> </w:t>
      </w:r>
      <w:hyperlink r:id="rId10" w:history="1">
        <w:r w:rsidRPr="00ED77B2">
          <w:rPr>
            <w:rStyle w:val="Hyperlink"/>
            <w:rFonts w:ascii="Book Antiqua" w:hAnsi="Book Antiqua"/>
          </w:rPr>
          <w:t>https://www.herijaya.com/2025/08/kenapa-tidak-tahu-hukum-tetap-salah</w:t>
        </w:r>
      </w:hyperlink>
      <w:r w:rsidRPr="000D690A">
        <w:rPr>
          <w:rFonts w:ascii="Book Antiqua" w:hAnsi="Book Antiqua"/>
        </w:rPr>
        <w:t>,</w:t>
      </w:r>
      <w:r>
        <w:rPr>
          <w:rFonts w:ascii="Book Antiqua" w:hAnsi="Book Antiqua"/>
          <w:lang w:val="en-US"/>
        </w:rPr>
        <w:t xml:space="preserve"> </w:t>
      </w:r>
      <w:r w:rsidRPr="000D690A">
        <w:rPr>
          <w:rFonts w:ascii="Book Antiqua" w:hAnsi="Book Antiqua"/>
        </w:rPr>
        <w:t>diakses pada 18 Juli 2026.</w:t>
      </w:r>
    </w:p>
    <w:p w14:paraId="470CD967" w14:textId="77777777" w:rsidR="00A92534" w:rsidRDefault="00A92534" w:rsidP="00A92534">
      <w:pPr>
        <w:ind w:left="720" w:hanging="720"/>
        <w:jc w:val="both"/>
        <w:rPr>
          <w:rFonts w:ascii="Book Antiqua" w:hAnsi="Book Antiqua"/>
        </w:rPr>
      </w:pPr>
      <w:r w:rsidRPr="000D690A">
        <w:rPr>
          <w:rFonts w:ascii="Book Antiqua" w:hAnsi="Book Antiqua"/>
        </w:rPr>
        <w:t>Hukumonline, "</w:t>
      </w:r>
      <w:r w:rsidRPr="000D690A">
        <w:rPr>
          <w:rFonts w:ascii="Book Antiqua" w:hAnsi="Book Antiqua"/>
          <w:i/>
          <w:iCs/>
        </w:rPr>
        <w:t>Strict Liability dalam Pidana Narkotika</w:t>
      </w:r>
      <w:r w:rsidRPr="000D690A">
        <w:rPr>
          <w:rFonts w:ascii="Book Antiqua" w:hAnsi="Book Antiqua"/>
        </w:rPr>
        <w:t xml:space="preserve">," </w:t>
      </w:r>
      <w:r>
        <w:rPr>
          <w:rFonts w:ascii="Book Antiqua" w:hAnsi="Book Antiqua"/>
          <w:lang w:val="en-US"/>
        </w:rPr>
        <w:t xml:space="preserve">  </w:t>
      </w:r>
      <w:hyperlink r:id="rId11" w:history="1">
        <w:r w:rsidRPr="00ED77B2">
          <w:rPr>
            <w:rStyle w:val="Hyperlink"/>
            <w:rFonts w:ascii="Book Antiqua" w:hAnsi="Book Antiqua"/>
          </w:rPr>
          <w:t>https://www.hukumonline.com/klinik/a/istrict-liability-i-dalam-pidana-narkotika</w:t>
        </w:r>
      </w:hyperlink>
      <w:r w:rsidRPr="000D690A">
        <w:rPr>
          <w:rFonts w:ascii="Book Antiqua" w:hAnsi="Book Antiqua"/>
        </w:rPr>
        <w:t>,</w:t>
      </w:r>
      <w:r>
        <w:rPr>
          <w:rFonts w:ascii="Book Antiqua" w:hAnsi="Book Antiqua"/>
          <w:lang w:val="en-US"/>
        </w:rPr>
        <w:t xml:space="preserve"> </w:t>
      </w:r>
      <w:r w:rsidRPr="000D690A">
        <w:rPr>
          <w:rFonts w:ascii="Book Antiqua" w:hAnsi="Book Antiqua"/>
        </w:rPr>
        <w:t>diakses tanggal 18 Juli 2026.</w:t>
      </w:r>
    </w:p>
    <w:p w14:paraId="52FD168A" w14:textId="77777777" w:rsidR="00A92534" w:rsidRDefault="00A92534" w:rsidP="00A92534">
      <w:pPr>
        <w:ind w:left="720" w:hanging="720"/>
        <w:jc w:val="both"/>
        <w:rPr>
          <w:rFonts w:ascii="Book Antiqua" w:hAnsi="Book Antiqua"/>
        </w:rPr>
      </w:pPr>
      <w:r w:rsidRPr="000D690A">
        <w:rPr>
          <w:rFonts w:ascii="Book Antiqua" w:hAnsi="Book Antiqua"/>
        </w:rPr>
        <w:t>Hukumonline, "</w:t>
      </w:r>
      <w:r w:rsidRPr="000D690A">
        <w:rPr>
          <w:rFonts w:ascii="Book Antiqua" w:hAnsi="Book Antiqua"/>
          <w:i/>
          <w:iCs/>
        </w:rPr>
        <w:t>Tidak Tahu Barang yang Dibeli Hasil Curian</w:t>
      </w:r>
      <w:r w:rsidRPr="000D690A">
        <w:rPr>
          <w:rFonts w:ascii="Book Antiqua" w:hAnsi="Book Antiqua"/>
        </w:rPr>
        <w:t xml:space="preserve">," </w:t>
      </w:r>
      <w:hyperlink r:id="rId12" w:history="1">
        <w:r w:rsidRPr="000D690A">
          <w:rPr>
            <w:rStyle w:val="Hyperlink"/>
            <w:rFonts w:ascii="Book Antiqua" w:hAnsi="Book Antiqua"/>
          </w:rPr>
          <w:t>https://www.hukumonline.com/klinik/a/tidak-tahu-barang-yang-dibeli-hasil-curian--bisakah-dipidana-lt53c906311f8a7/</w:t>
        </w:r>
      </w:hyperlink>
      <w:r w:rsidRPr="000D690A">
        <w:rPr>
          <w:rFonts w:ascii="Book Antiqua" w:hAnsi="Book Antiqua"/>
        </w:rPr>
        <w:t>, diakses tanggal 18 Juli 2026.</w:t>
      </w:r>
    </w:p>
    <w:p w14:paraId="525688F8" w14:textId="77777777" w:rsidR="00A92534" w:rsidRDefault="00A92534" w:rsidP="00A92534">
      <w:pPr>
        <w:ind w:left="720" w:hanging="720"/>
        <w:jc w:val="both"/>
        <w:rPr>
          <w:rFonts w:ascii="Book Antiqua" w:hAnsi="Book Antiqua"/>
          <w:w w:val="105"/>
        </w:rPr>
      </w:pPr>
      <w:r w:rsidRPr="00415E74">
        <w:rPr>
          <w:rFonts w:ascii="Book Antiqua" w:hAnsi="Book Antiqua"/>
          <w:w w:val="105"/>
        </w:rPr>
        <w:t>Kitab Undang-Undang Hukum Pidana (KUHP).</w:t>
      </w:r>
    </w:p>
    <w:p w14:paraId="5CD16DF4" w14:textId="77777777" w:rsidR="00A92534" w:rsidRDefault="00A92534" w:rsidP="00A92534">
      <w:pPr>
        <w:ind w:left="720" w:hanging="720"/>
        <w:jc w:val="both"/>
        <w:rPr>
          <w:rFonts w:ascii="Book Antiqua" w:hAnsi="Book Antiqua"/>
          <w:w w:val="105"/>
          <w:lang w:val="en-US"/>
        </w:rPr>
      </w:pPr>
      <w:r w:rsidRPr="00426CAC">
        <w:rPr>
          <w:rFonts w:ascii="Book Antiqua" w:hAnsi="Book Antiqua"/>
          <w:w w:val="105"/>
          <w:lang w:val="en-US"/>
        </w:rPr>
        <w:t>Law, Andrew, et al., "</w:t>
      </w:r>
      <w:r w:rsidRPr="00426CAC">
        <w:rPr>
          <w:rFonts w:ascii="Book Antiqua" w:hAnsi="Book Antiqua"/>
          <w:i/>
          <w:iCs/>
          <w:w w:val="105"/>
          <w:lang w:val="en-US"/>
        </w:rPr>
        <w:t>Penegakan Hukum Terhadap Tindak Pidana Penyalahgunaan Narkotika Dan Psikotropika</w:t>
      </w:r>
      <w:r w:rsidRPr="00426CAC">
        <w:rPr>
          <w:rFonts w:ascii="Book Antiqua" w:hAnsi="Book Antiqua"/>
          <w:w w:val="105"/>
          <w:lang w:val="en-US"/>
        </w:rPr>
        <w:t>" 1 (2022): 22–28.</w:t>
      </w:r>
    </w:p>
    <w:p w14:paraId="69741E01" w14:textId="77777777" w:rsidR="00A92534" w:rsidRDefault="00A92534" w:rsidP="00A92534">
      <w:pPr>
        <w:ind w:left="720" w:hanging="720"/>
        <w:jc w:val="both"/>
        <w:rPr>
          <w:rFonts w:ascii="Book Antiqua" w:hAnsi="Book Antiqua"/>
          <w:w w:val="105"/>
          <w:lang w:val="en-US"/>
        </w:rPr>
      </w:pPr>
      <w:r w:rsidRPr="003B39E6">
        <w:rPr>
          <w:rFonts w:ascii="Book Antiqua" w:hAnsi="Book Antiqua"/>
          <w:w w:val="105"/>
          <w:lang w:val="en-US"/>
        </w:rPr>
        <w:t>Nano, Vaulus Julianta, Tahasak Sahay, and Claudia Yuni Pramita, "</w:t>
      </w:r>
      <w:r w:rsidRPr="003B39E6">
        <w:rPr>
          <w:rFonts w:ascii="Book Antiqua" w:hAnsi="Book Antiqua"/>
          <w:i/>
          <w:iCs/>
          <w:w w:val="105"/>
          <w:lang w:val="en-US"/>
        </w:rPr>
        <w:t>Analisis Teoritis Dolus Dan Culpa Dalam Konsep Kesalahan Sebagai Dasar Pertanggungjawaban Pidana</w:t>
      </w:r>
      <w:r w:rsidRPr="003B39E6">
        <w:rPr>
          <w:rFonts w:ascii="Book Antiqua" w:hAnsi="Book Antiqua"/>
          <w:w w:val="105"/>
          <w:lang w:val="en-US"/>
        </w:rPr>
        <w:t>," 2026, 6241–51.</w:t>
      </w:r>
    </w:p>
    <w:p w14:paraId="26AFE993" w14:textId="77777777" w:rsidR="00A92534" w:rsidRPr="00A92534" w:rsidRDefault="00A92534" w:rsidP="00A92534">
      <w:pPr>
        <w:ind w:left="720" w:hanging="720"/>
        <w:jc w:val="both"/>
      </w:pPr>
      <w:r w:rsidRPr="00415E74">
        <w:rPr>
          <w:rFonts w:ascii="Book Antiqua" w:hAnsi="Book Antiqua"/>
          <w:w w:val="105"/>
        </w:rPr>
        <w:t>Putusan Pengadilan Negeri Blitar Nomor 418/Pid.Sus/2025/PN Blt.</w:t>
      </w:r>
    </w:p>
    <w:p w14:paraId="45A084BE" w14:textId="77777777" w:rsidR="00A92534" w:rsidRDefault="00A92534" w:rsidP="00A92534">
      <w:pPr>
        <w:ind w:left="720" w:hanging="720"/>
        <w:jc w:val="both"/>
        <w:rPr>
          <w:rFonts w:ascii="Book Antiqua" w:hAnsi="Book Antiqua"/>
          <w:w w:val="105"/>
          <w:lang w:val="en-US"/>
        </w:rPr>
      </w:pPr>
      <w:r w:rsidRPr="001C20CB">
        <w:rPr>
          <w:rFonts w:ascii="Book Antiqua" w:hAnsi="Book Antiqua"/>
          <w:w w:val="105"/>
          <w:lang w:val="en-US"/>
        </w:rPr>
        <w:t>Suud, A. K. (2023</w:t>
      </w:r>
      <w:r w:rsidRPr="00473AB1">
        <w:rPr>
          <w:rFonts w:ascii="Book Antiqua" w:hAnsi="Book Antiqua"/>
          <w:i/>
          <w:iCs/>
          <w:w w:val="105"/>
          <w:lang w:val="en-US"/>
        </w:rPr>
        <w:t>). Analisis Penerapan Konsep Pertanggungjawaban Mutlak (Strict Liability) Dalam Kasus Korupsi. Masalah-Masalah Hukum</w:t>
      </w:r>
      <w:r w:rsidRPr="001C20CB">
        <w:rPr>
          <w:rFonts w:ascii="Book Antiqua" w:hAnsi="Book Antiqua"/>
          <w:w w:val="105"/>
          <w:lang w:val="en-US"/>
        </w:rPr>
        <w:t xml:space="preserve">, 52(2), 153-162. </w:t>
      </w:r>
      <w:hyperlink r:id="rId13" w:history="1">
        <w:r w:rsidRPr="006A6C92">
          <w:rPr>
            <w:rStyle w:val="Hyperlink"/>
            <w:rFonts w:ascii="Book Antiqua" w:hAnsi="Book Antiqua"/>
            <w:color w:val="auto"/>
            <w:w w:val="105"/>
            <w:lang w:val="en-US"/>
          </w:rPr>
          <w:t>https://ejournal.undip.ac.id/index.php/mmh/article/view/44666</w:t>
        </w:r>
      </w:hyperlink>
      <w:r w:rsidRPr="006A6C92">
        <w:rPr>
          <w:rFonts w:ascii="Book Antiqua" w:hAnsi="Book Antiqua"/>
          <w:w w:val="105"/>
          <w:lang w:val="en-US"/>
        </w:rPr>
        <w:t>,</w:t>
      </w:r>
      <w:r>
        <w:rPr>
          <w:rFonts w:ascii="Book Antiqua" w:hAnsi="Book Antiqua"/>
          <w:w w:val="105"/>
          <w:lang w:val="en-US"/>
        </w:rPr>
        <w:t xml:space="preserve"> diakses pada tanggal 18 Juli 2026</w:t>
      </w:r>
    </w:p>
    <w:p w14:paraId="3A114CC8" w14:textId="77777777" w:rsidR="00A92534" w:rsidRDefault="00A92534" w:rsidP="00A92534">
      <w:pPr>
        <w:ind w:left="720" w:hanging="720"/>
        <w:jc w:val="both"/>
        <w:rPr>
          <w:rFonts w:ascii="Book Antiqua" w:hAnsi="Book Antiqua"/>
          <w:w w:val="105"/>
        </w:rPr>
      </w:pPr>
      <w:r w:rsidRPr="00415E74">
        <w:rPr>
          <w:rFonts w:ascii="Book Antiqua" w:hAnsi="Book Antiqua"/>
          <w:w w:val="105"/>
        </w:rPr>
        <w:t>Undang-Undang Nomor 35 Tahun 2009 tentang Narkotika (Lembaran Negara Republik Indonesia Tahun 2009 Nomor 143, Tambahan Lembaran Negara Republik Indonesia Nomor 5062).</w:t>
      </w:r>
    </w:p>
    <w:p w14:paraId="44BB73BE" w14:textId="77777777" w:rsidR="00A92534" w:rsidRDefault="00A92534" w:rsidP="00A92534">
      <w:pPr>
        <w:ind w:left="720" w:hanging="720"/>
        <w:jc w:val="both"/>
        <w:rPr>
          <w:rFonts w:ascii="Book Antiqua" w:hAnsi="Book Antiqua"/>
          <w:w w:val="105"/>
        </w:rPr>
      </w:pPr>
      <w:r w:rsidRPr="00415E74">
        <w:rPr>
          <w:rFonts w:ascii="Book Antiqua" w:hAnsi="Book Antiqua"/>
          <w:w w:val="105"/>
        </w:rPr>
        <w:t>Undang-Undang Nomor 8 Tahun 1981 tentang Hukum Acara Pidana (KUHAP).</w:t>
      </w:r>
    </w:p>
    <w:p w14:paraId="665406C1" w14:textId="77777777" w:rsidR="00A92534" w:rsidRDefault="00A92534" w:rsidP="00A92534">
      <w:pPr>
        <w:ind w:left="720" w:hanging="720"/>
        <w:jc w:val="both"/>
      </w:pPr>
      <w:r w:rsidRPr="00473AB1">
        <w:rPr>
          <w:rFonts w:ascii="Book Antiqua" w:hAnsi="Book Antiqua"/>
          <w:w w:val="105"/>
          <w:lang w:val="en-US"/>
        </w:rPr>
        <w:t xml:space="preserve">Utoyo, M., Afriani, K., Rusmini, R., &amp; Husnaini, H. (2020). </w:t>
      </w:r>
      <w:r w:rsidRPr="00473AB1">
        <w:rPr>
          <w:rFonts w:ascii="Book Antiqua" w:hAnsi="Book Antiqua"/>
          <w:i/>
          <w:iCs/>
          <w:w w:val="105"/>
          <w:lang w:val="en-US"/>
        </w:rPr>
        <w:t>Sengaja Dan Tidak Sengaja Dalam Hukum Pidana Indonesia</w:t>
      </w:r>
      <w:r w:rsidRPr="00473AB1">
        <w:rPr>
          <w:rFonts w:ascii="Book Antiqua" w:hAnsi="Book Antiqua"/>
          <w:w w:val="105"/>
          <w:lang w:val="en-US"/>
        </w:rPr>
        <w:t>. Lex Librum, 7(1), 75-85.</w:t>
      </w:r>
    </w:p>
    <w:p w14:paraId="5F75CE47" w14:textId="277E4A9C" w:rsidR="00CF3ACF" w:rsidRPr="00415E74" w:rsidRDefault="00CF3ACF" w:rsidP="00415E74">
      <w:pPr>
        <w:pStyle w:val="BodyText"/>
        <w:spacing w:before="38" w:line="292" w:lineRule="auto"/>
        <w:ind w:right="10"/>
        <w:jc w:val="both"/>
        <w:rPr>
          <w:rFonts w:ascii="Book Antiqua" w:hAnsi="Book Antiqua"/>
        </w:rPr>
      </w:pPr>
    </w:p>
    <w:sectPr w:rsidR="00CF3ACF" w:rsidRPr="00415E74">
      <w:pgSz w:w="11910" w:h="16840"/>
      <w:pgMar w:top="1340" w:right="1417" w:bottom="1180" w:left="1559"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C166F" w14:textId="77777777" w:rsidR="00CB55B0" w:rsidRDefault="00CB55B0">
      <w:r>
        <w:separator/>
      </w:r>
    </w:p>
  </w:endnote>
  <w:endnote w:type="continuationSeparator" w:id="0">
    <w:p w14:paraId="1147BEA7" w14:textId="77777777" w:rsidR="00CB55B0" w:rsidRDefault="00CB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9DBE" w14:textId="77777777" w:rsidR="00A35C11" w:rsidRDefault="00A35C11">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50B782A7" w14:textId="17DA05B4" w:rsidR="00CF3ACF" w:rsidRDefault="00CF3ACF">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685CF" w14:textId="77777777" w:rsidR="00CB55B0" w:rsidRDefault="00CB55B0">
      <w:r>
        <w:separator/>
      </w:r>
    </w:p>
  </w:footnote>
  <w:footnote w:type="continuationSeparator" w:id="0">
    <w:p w14:paraId="5DDD97C0" w14:textId="77777777" w:rsidR="00CB55B0" w:rsidRDefault="00CB5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51580"/>
    <w:multiLevelType w:val="hybridMultilevel"/>
    <w:tmpl w:val="E9B087A6"/>
    <w:lvl w:ilvl="0" w:tplc="6F686B78">
      <w:start w:val="1"/>
      <w:numFmt w:val="upperLetter"/>
      <w:lvlText w:val="%1."/>
      <w:lvlJc w:val="left"/>
      <w:pPr>
        <w:ind w:left="424" w:hanging="284"/>
        <w:jc w:val="left"/>
      </w:pPr>
      <w:rPr>
        <w:rFonts w:ascii="Times New Roman" w:eastAsia="Times New Roman" w:hAnsi="Times New Roman" w:cs="Times New Roman" w:hint="default"/>
        <w:b/>
        <w:bCs/>
        <w:i w:val="0"/>
        <w:iCs w:val="0"/>
        <w:spacing w:val="-1"/>
        <w:w w:val="100"/>
        <w:sz w:val="24"/>
        <w:szCs w:val="24"/>
        <w:lang w:val="id" w:eastAsia="en-US" w:bidi="ar-SA"/>
      </w:rPr>
    </w:lvl>
    <w:lvl w:ilvl="1" w:tplc="74A2DEE6">
      <w:numFmt w:val="bullet"/>
      <w:lvlText w:val="•"/>
      <w:lvlJc w:val="left"/>
      <w:pPr>
        <w:ind w:left="1270" w:hanging="284"/>
      </w:pPr>
      <w:rPr>
        <w:rFonts w:hint="default"/>
        <w:lang w:val="id" w:eastAsia="en-US" w:bidi="ar-SA"/>
      </w:rPr>
    </w:lvl>
    <w:lvl w:ilvl="2" w:tplc="DCC29374">
      <w:numFmt w:val="bullet"/>
      <w:lvlText w:val="•"/>
      <w:lvlJc w:val="left"/>
      <w:pPr>
        <w:ind w:left="2121" w:hanging="284"/>
      </w:pPr>
      <w:rPr>
        <w:rFonts w:hint="default"/>
        <w:lang w:val="id" w:eastAsia="en-US" w:bidi="ar-SA"/>
      </w:rPr>
    </w:lvl>
    <w:lvl w:ilvl="3" w:tplc="5E24FA08">
      <w:numFmt w:val="bullet"/>
      <w:lvlText w:val="•"/>
      <w:lvlJc w:val="left"/>
      <w:pPr>
        <w:ind w:left="2972" w:hanging="284"/>
      </w:pPr>
      <w:rPr>
        <w:rFonts w:hint="default"/>
        <w:lang w:val="id" w:eastAsia="en-US" w:bidi="ar-SA"/>
      </w:rPr>
    </w:lvl>
    <w:lvl w:ilvl="4" w:tplc="CE342C0C">
      <w:numFmt w:val="bullet"/>
      <w:lvlText w:val="•"/>
      <w:lvlJc w:val="left"/>
      <w:pPr>
        <w:ind w:left="3823" w:hanging="284"/>
      </w:pPr>
      <w:rPr>
        <w:rFonts w:hint="default"/>
        <w:lang w:val="id" w:eastAsia="en-US" w:bidi="ar-SA"/>
      </w:rPr>
    </w:lvl>
    <w:lvl w:ilvl="5" w:tplc="0F7EC9AC">
      <w:numFmt w:val="bullet"/>
      <w:lvlText w:val="•"/>
      <w:lvlJc w:val="left"/>
      <w:pPr>
        <w:ind w:left="4674" w:hanging="284"/>
      </w:pPr>
      <w:rPr>
        <w:rFonts w:hint="default"/>
        <w:lang w:val="id" w:eastAsia="en-US" w:bidi="ar-SA"/>
      </w:rPr>
    </w:lvl>
    <w:lvl w:ilvl="6" w:tplc="809206D4">
      <w:numFmt w:val="bullet"/>
      <w:lvlText w:val="•"/>
      <w:lvlJc w:val="left"/>
      <w:pPr>
        <w:ind w:left="5524" w:hanging="284"/>
      </w:pPr>
      <w:rPr>
        <w:rFonts w:hint="default"/>
        <w:lang w:val="id" w:eastAsia="en-US" w:bidi="ar-SA"/>
      </w:rPr>
    </w:lvl>
    <w:lvl w:ilvl="7" w:tplc="5ACA609A">
      <w:numFmt w:val="bullet"/>
      <w:lvlText w:val="•"/>
      <w:lvlJc w:val="left"/>
      <w:pPr>
        <w:ind w:left="6375" w:hanging="284"/>
      </w:pPr>
      <w:rPr>
        <w:rFonts w:hint="default"/>
        <w:lang w:val="id" w:eastAsia="en-US" w:bidi="ar-SA"/>
      </w:rPr>
    </w:lvl>
    <w:lvl w:ilvl="8" w:tplc="86D89608">
      <w:numFmt w:val="bullet"/>
      <w:lvlText w:val="•"/>
      <w:lvlJc w:val="left"/>
      <w:pPr>
        <w:ind w:left="7226" w:hanging="284"/>
      </w:pPr>
      <w:rPr>
        <w:rFonts w:hint="default"/>
        <w:lang w:val="id" w:eastAsia="en-US" w:bidi="ar-SA"/>
      </w:rPr>
    </w:lvl>
  </w:abstractNum>
  <w:abstractNum w:abstractNumId="1" w15:restartNumberingAfterBreak="0">
    <w:nsid w:val="3E56398D"/>
    <w:multiLevelType w:val="hybridMultilevel"/>
    <w:tmpl w:val="42B6CAF0"/>
    <w:lvl w:ilvl="0" w:tplc="3809000F">
      <w:start w:val="1"/>
      <w:numFmt w:val="decimal"/>
      <w:lvlText w:val="%1."/>
      <w:lvlJc w:val="left"/>
      <w:pPr>
        <w:ind w:left="500" w:hanging="360"/>
      </w:pPr>
    </w:lvl>
    <w:lvl w:ilvl="1" w:tplc="38090019" w:tentative="1">
      <w:start w:val="1"/>
      <w:numFmt w:val="lowerLetter"/>
      <w:lvlText w:val="%2."/>
      <w:lvlJc w:val="left"/>
      <w:pPr>
        <w:ind w:left="1220" w:hanging="360"/>
      </w:pPr>
    </w:lvl>
    <w:lvl w:ilvl="2" w:tplc="3809001B" w:tentative="1">
      <w:start w:val="1"/>
      <w:numFmt w:val="lowerRoman"/>
      <w:lvlText w:val="%3."/>
      <w:lvlJc w:val="right"/>
      <w:pPr>
        <w:ind w:left="1940" w:hanging="180"/>
      </w:pPr>
    </w:lvl>
    <w:lvl w:ilvl="3" w:tplc="3809000F" w:tentative="1">
      <w:start w:val="1"/>
      <w:numFmt w:val="decimal"/>
      <w:lvlText w:val="%4."/>
      <w:lvlJc w:val="left"/>
      <w:pPr>
        <w:ind w:left="2660" w:hanging="360"/>
      </w:pPr>
    </w:lvl>
    <w:lvl w:ilvl="4" w:tplc="38090019" w:tentative="1">
      <w:start w:val="1"/>
      <w:numFmt w:val="lowerLetter"/>
      <w:lvlText w:val="%5."/>
      <w:lvlJc w:val="left"/>
      <w:pPr>
        <w:ind w:left="3380" w:hanging="360"/>
      </w:pPr>
    </w:lvl>
    <w:lvl w:ilvl="5" w:tplc="3809001B" w:tentative="1">
      <w:start w:val="1"/>
      <w:numFmt w:val="lowerRoman"/>
      <w:lvlText w:val="%6."/>
      <w:lvlJc w:val="right"/>
      <w:pPr>
        <w:ind w:left="4100" w:hanging="180"/>
      </w:pPr>
    </w:lvl>
    <w:lvl w:ilvl="6" w:tplc="3809000F" w:tentative="1">
      <w:start w:val="1"/>
      <w:numFmt w:val="decimal"/>
      <w:lvlText w:val="%7."/>
      <w:lvlJc w:val="left"/>
      <w:pPr>
        <w:ind w:left="4820" w:hanging="360"/>
      </w:pPr>
    </w:lvl>
    <w:lvl w:ilvl="7" w:tplc="38090019" w:tentative="1">
      <w:start w:val="1"/>
      <w:numFmt w:val="lowerLetter"/>
      <w:lvlText w:val="%8."/>
      <w:lvlJc w:val="left"/>
      <w:pPr>
        <w:ind w:left="5540" w:hanging="360"/>
      </w:pPr>
    </w:lvl>
    <w:lvl w:ilvl="8" w:tplc="3809001B" w:tentative="1">
      <w:start w:val="1"/>
      <w:numFmt w:val="lowerRoman"/>
      <w:lvlText w:val="%9."/>
      <w:lvlJc w:val="right"/>
      <w:pPr>
        <w:ind w:left="6260" w:hanging="180"/>
      </w:pPr>
    </w:lvl>
  </w:abstractNum>
  <w:abstractNum w:abstractNumId="2" w15:restartNumberingAfterBreak="0">
    <w:nsid w:val="635172BB"/>
    <w:multiLevelType w:val="hybridMultilevel"/>
    <w:tmpl w:val="7474F80E"/>
    <w:lvl w:ilvl="0" w:tplc="3809000F">
      <w:start w:val="1"/>
      <w:numFmt w:val="decimal"/>
      <w:lvlText w:val="%1."/>
      <w:lvlJc w:val="left"/>
      <w:pPr>
        <w:ind w:left="500" w:hanging="360"/>
      </w:pPr>
    </w:lvl>
    <w:lvl w:ilvl="1" w:tplc="38090019" w:tentative="1">
      <w:start w:val="1"/>
      <w:numFmt w:val="lowerLetter"/>
      <w:lvlText w:val="%2."/>
      <w:lvlJc w:val="left"/>
      <w:pPr>
        <w:ind w:left="1220" w:hanging="360"/>
      </w:pPr>
    </w:lvl>
    <w:lvl w:ilvl="2" w:tplc="3809001B" w:tentative="1">
      <w:start w:val="1"/>
      <w:numFmt w:val="lowerRoman"/>
      <w:lvlText w:val="%3."/>
      <w:lvlJc w:val="right"/>
      <w:pPr>
        <w:ind w:left="1940" w:hanging="180"/>
      </w:pPr>
    </w:lvl>
    <w:lvl w:ilvl="3" w:tplc="3809000F" w:tentative="1">
      <w:start w:val="1"/>
      <w:numFmt w:val="decimal"/>
      <w:lvlText w:val="%4."/>
      <w:lvlJc w:val="left"/>
      <w:pPr>
        <w:ind w:left="2660" w:hanging="360"/>
      </w:pPr>
    </w:lvl>
    <w:lvl w:ilvl="4" w:tplc="38090019" w:tentative="1">
      <w:start w:val="1"/>
      <w:numFmt w:val="lowerLetter"/>
      <w:lvlText w:val="%5."/>
      <w:lvlJc w:val="left"/>
      <w:pPr>
        <w:ind w:left="3380" w:hanging="360"/>
      </w:pPr>
    </w:lvl>
    <w:lvl w:ilvl="5" w:tplc="3809001B" w:tentative="1">
      <w:start w:val="1"/>
      <w:numFmt w:val="lowerRoman"/>
      <w:lvlText w:val="%6."/>
      <w:lvlJc w:val="right"/>
      <w:pPr>
        <w:ind w:left="4100" w:hanging="180"/>
      </w:pPr>
    </w:lvl>
    <w:lvl w:ilvl="6" w:tplc="3809000F" w:tentative="1">
      <w:start w:val="1"/>
      <w:numFmt w:val="decimal"/>
      <w:lvlText w:val="%7."/>
      <w:lvlJc w:val="left"/>
      <w:pPr>
        <w:ind w:left="4820" w:hanging="360"/>
      </w:pPr>
    </w:lvl>
    <w:lvl w:ilvl="7" w:tplc="38090019" w:tentative="1">
      <w:start w:val="1"/>
      <w:numFmt w:val="lowerLetter"/>
      <w:lvlText w:val="%8."/>
      <w:lvlJc w:val="left"/>
      <w:pPr>
        <w:ind w:left="5540" w:hanging="360"/>
      </w:pPr>
    </w:lvl>
    <w:lvl w:ilvl="8" w:tplc="3809001B" w:tentative="1">
      <w:start w:val="1"/>
      <w:numFmt w:val="lowerRoman"/>
      <w:lvlText w:val="%9."/>
      <w:lvlJc w:val="right"/>
      <w:pPr>
        <w:ind w:left="62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F3ACF"/>
    <w:rsid w:val="00002BC8"/>
    <w:rsid w:val="00010172"/>
    <w:rsid w:val="000502FB"/>
    <w:rsid w:val="00067400"/>
    <w:rsid w:val="00091895"/>
    <w:rsid w:val="000A4027"/>
    <w:rsid w:val="000B5DC9"/>
    <w:rsid w:val="000C6F7D"/>
    <w:rsid w:val="000D1A0E"/>
    <w:rsid w:val="000D690A"/>
    <w:rsid w:val="00133F28"/>
    <w:rsid w:val="0014767F"/>
    <w:rsid w:val="001928EF"/>
    <w:rsid w:val="00194F8E"/>
    <w:rsid w:val="00197912"/>
    <w:rsid w:val="001C1FB0"/>
    <w:rsid w:val="001C20CB"/>
    <w:rsid w:val="001E3F74"/>
    <w:rsid w:val="00221694"/>
    <w:rsid w:val="00240B41"/>
    <w:rsid w:val="00296D9D"/>
    <w:rsid w:val="002B7543"/>
    <w:rsid w:val="002E35B8"/>
    <w:rsid w:val="00345269"/>
    <w:rsid w:val="003617B3"/>
    <w:rsid w:val="00363FDB"/>
    <w:rsid w:val="00375E54"/>
    <w:rsid w:val="003865B4"/>
    <w:rsid w:val="00392BA9"/>
    <w:rsid w:val="003A0CCB"/>
    <w:rsid w:val="003B39E6"/>
    <w:rsid w:val="003C607D"/>
    <w:rsid w:val="00415E74"/>
    <w:rsid w:val="0041634E"/>
    <w:rsid w:val="00426CAC"/>
    <w:rsid w:val="00445C63"/>
    <w:rsid w:val="00454150"/>
    <w:rsid w:val="0045724B"/>
    <w:rsid w:val="00473AB1"/>
    <w:rsid w:val="00484EB7"/>
    <w:rsid w:val="004952CE"/>
    <w:rsid w:val="004A52CB"/>
    <w:rsid w:val="004C749C"/>
    <w:rsid w:val="004C7A78"/>
    <w:rsid w:val="004E4E2F"/>
    <w:rsid w:val="004F7460"/>
    <w:rsid w:val="00513B06"/>
    <w:rsid w:val="00524FFA"/>
    <w:rsid w:val="00541071"/>
    <w:rsid w:val="00550C1A"/>
    <w:rsid w:val="005603BD"/>
    <w:rsid w:val="00566ECA"/>
    <w:rsid w:val="00571068"/>
    <w:rsid w:val="00571F26"/>
    <w:rsid w:val="00593128"/>
    <w:rsid w:val="005A160B"/>
    <w:rsid w:val="005A336C"/>
    <w:rsid w:val="005A488C"/>
    <w:rsid w:val="005B0DDA"/>
    <w:rsid w:val="0060353B"/>
    <w:rsid w:val="006042B7"/>
    <w:rsid w:val="0062262C"/>
    <w:rsid w:val="00647899"/>
    <w:rsid w:val="006A3F5D"/>
    <w:rsid w:val="006A6C92"/>
    <w:rsid w:val="006D43CD"/>
    <w:rsid w:val="006D7C3D"/>
    <w:rsid w:val="006E6A94"/>
    <w:rsid w:val="0072087A"/>
    <w:rsid w:val="007237E1"/>
    <w:rsid w:val="00757C97"/>
    <w:rsid w:val="00771B7C"/>
    <w:rsid w:val="00795AFF"/>
    <w:rsid w:val="007D42C7"/>
    <w:rsid w:val="007D4ED5"/>
    <w:rsid w:val="008050F7"/>
    <w:rsid w:val="00811193"/>
    <w:rsid w:val="00830D95"/>
    <w:rsid w:val="008329F0"/>
    <w:rsid w:val="00847EF2"/>
    <w:rsid w:val="008669C4"/>
    <w:rsid w:val="00882BD1"/>
    <w:rsid w:val="008C0580"/>
    <w:rsid w:val="008C14C6"/>
    <w:rsid w:val="008C5E87"/>
    <w:rsid w:val="008D3185"/>
    <w:rsid w:val="009041DE"/>
    <w:rsid w:val="009224C8"/>
    <w:rsid w:val="00994DF3"/>
    <w:rsid w:val="009A4CEE"/>
    <w:rsid w:val="009C264F"/>
    <w:rsid w:val="009E09C1"/>
    <w:rsid w:val="00A35C11"/>
    <w:rsid w:val="00A46D7D"/>
    <w:rsid w:val="00A51EC5"/>
    <w:rsid w:val="00A72CFC"/>
    <w:rsid w:val="00A92534"/>
    <w:rsid w:val="00AA18B1"/>
    <w:rsid w:val="00AC0B10"/>
    <w:rsid w:val="00AC7622"/>
    <w:rsid w:val="00AE62B2"/>
    <w:rsid w:val="00B03019"/>
    <w:rsid w:val="00B22C7F"/>
    <w:rsid w:val="00B42AAC"/>
    <w:rsid w:val="00B54BAA"/>
    <w:rsid w:val="00B74E6B"/>
    <w:rsid w:val="00B76831"/>
    <w:rsid w:val="00B7783C"/>
    <w:rsid w:val="00B875E0"/>
    <w:rsid w:val="00BA0A86"/>
    <w:rsid w:val="00BA2DC0"/>
    <w:rsid w:val="00BD6045"/>
    <w:rsid w:val="00BE60D7"/>
    <w:rsid w:val="00C82447"/>
    <w:rsid w:val="00C9730E"/>
    <w:rsid w:val="00CB517B"/>
    <w:rsid w:val="00CB532B"/>
    <w:rsid w:val="00CB55B0"/>
    <w:rsid w:val="00CF3ACF"/>
    <w:rsid w:val="00D26FAF"/>
    <w:rsid w:val="00D4614C"/>
    <w:rsid w:val="00D46734"/>
    <w:rsid w:val="00DB0240"/>
    <w:rsid w:val="00DE6728"/>
    <w:rsid w:val="00DE74C3"/>
    <w:rsid w:val="00DF5617"/>
    <w:rsid w:val="00E17E48"/>
    <w:rsid w:val="00E41231"/>
    <w:rsid w:val="00E44BCC"/>
    <w:rsid w:val="00E65190"/>
    <w:rsid w:val="00E82177"/>
    <w:rsid w:val="00E90C2D"/>
    <w:rsid w:val="00EA475E"/>
    <w:rsid w:val="00EB3258"/>
    <w:rsid w:val="00EB3ECC"/>
    <w:rsid w:val="00EC07B7"/>
    <w:rsid w:val="00ED3D86"/>
    <w:rsid w:val="00EE3E16"/>
    <w:rsid w:val="00EF2A91"/>
    <w:rsid w:val="00EF3135"/>
    <w:rsid w:val="00F055DD"/>
    <w:rsid w:val="00F07B44"/>
    <w:rsid w:val="00F30485"/>
    <w:rsid w:val="00F40A21"/>
    <w:rsid w:val="00F5125C"/>
    <w:rsid w:val="00F64776"/>
    <w:rsid w:val="00F76065"/>
    <w:rsid w:val="00F87E63"/>
    <w:rsid w:val="00F9541A"/>
    <w:rsid w:val="00FC7FD4"/>
    <w:rsid w:val="00FD5D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CB9BD"/>
  <w15:docId w15:val="{A71BB81B-9319-4739-B7BA-D9BCB50A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spacing w:before="55"/>
      <w:ind w:left="140"/>
      <w:outlineLvl w:val="0"/>
    </w:pPr>
    <w:rPr>
      <w:rFonts w:ascii="Palatino Linotype" w:eastAsia="Palatino Linotype" w:hAnsi="Palatino Linotype" w:cs="Palatino Linotype"/>
      <w:b/>
      <w:bCs/>
      <w:sz w:val="24"/>
      <w:szCs w:val="24"/>
    </w:rPr>
  </w:style>
  <w:style w:type="paragraph" w:styleId="Heading2">
    <w:name w:val="heading 2"/>
    <w:basedOn w:val="Normal"/>
    <w:uiPriority w:val="9"/>
    <w:unhideWhenUsed/>
    <w:qFormat/>
    <w:pPr>
      <w:ind w:left="140"/>
      <w:outlineLvl w:val="1"/>
    </w:pPr>
    <w:rPr>
      <w:rFonts w:ascii="Palatino Linotype" w:eastAsia="Palatino Linotype" w:hAnsi="Palatino Linotype" w:cs="Palatino Linotype"/>
      <w:b/>
      <w:bCs/>
    </w:rPr>
  </w:style>
  <w:style w:type="paragraph" w:styleId="Heading3">
    <w:name w:val="heading 3"/>
    <w:basedOn w:val="Normal"/>
    <w:uiPriority w:val="9"/>
    <w:unhideWhenUsed/>
    <w:qFormat/>
    <w:pPr>
      <w:ind w:left="140"/>
      <w:outlineLvl w:val="2"/>
    </w:pPr>
    <w:rPr>
      <w:rFonts w:ascii="Palatino Linotype" w:eastAsia="Palatino Linotype" w:hAnsi="Palatino Linotype" w:cs="Palatino Linotype"/>
      <w:b/>
      <w:bCs/>
    </w:rPr>
  </w:style>
  <w:style w:type="paragraph" w:styleId="Heading4">
    <w:name w:val="heading 4"/>
    <w:basedOn w:val="Normal"/>
    <w:uiPriority w:val="9"/>
    <w:unhideWhenUsed/>
    <w:qFormat/>
    <w:pPr>
      <w:spacing w:line="279" w:lineRule="exact"/>
      <w:ind w:left="140"/>
      <w:jc w:val="both"/>
      <w:outlineLvl w:val="3"/>
    </w:pPr>
    <w:rPr>
      <w:rFonts w:ascii="Palatino Linotype" w:eastAsia="Palatino Linotype" w:hAnsi="Palatino Linotype" w:cs="Palatino Linotype"/>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style>
  <w:style w:type="paragraph" w:styleId="ListParagraph">
    <w:name w:val="List Paragraph"/>
    <w:basedOn w:val="Normal"/>
    <w:uiPriority w:val="1"/>
    <w:qFormat/>
    <w:pPr>
      <w:ind w:left="422" w:hanging="283"/>
    </w:pPr>
    <w:rPr>
      <w:rFonts w:ascii="Palatino Linotype" w:eastAsia="Palatino Linotype" w:hAnsi="Palatino Linotype" w:cs="Palatino Linotype"/>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57C97"/>
    <w:rPr>
      <w:color w:val="0000FF" w:themeColor="hyperlink"/>
      <w:u w:val="single"/>
    </w:rPr>
  </w:style>
  <w:style w:type="character" w:styleId="UnresolvedMention">
    <w:name w:val="Unresolved Mention"/>
    <w:basedOn w:val="DefaultParagraphFont"/>
    <w:uiPriority w:val="99"/>
    <w:semiHidden/>
    <w:unhideWhenUsed/>
    <w:rsid w:val="00757C97"/>
    <w:rPr>
      <w:color w:val="605E5C"/>
      <w:shd w:val="clear" w:color="auto" w:fill="E1DFDD"/>
    </w:rPr>
  </w:style>
  <w:style w:type="paragraph" w:styleId="Header">
    <w:name w:val="header"/>
    <w:basedOn w:val="Normal"/>
    <w:link w:val="HeaderChar"/>
    <w:uiPriority w:val="99"/>
    <w:unhideWhenUsed/>
    <w:rsid w:val="009A4CEE"/>
    <w:pPr>
      <w:tabs>
        <w:tab w:val="center" w:pos="4513"/>
        <w:tab w:val="right" w:pos="9026"/>
      </w:tabs>
    </w:pPr>
  </w:style>
  <w:style w:type="character" w:customStyle="1" w:styleId="HeaderChar">
    <w:name w:val="Header Char"/>
    <w:basedOn w:val="DefaultParagraphFont"/>
    <w:link w:val="Header"/>
    <w:uiPriority w:val="99"/>
    <w:rsid w:val="009A4CEE"/>
    <w:rPr>
      <w:rFonts w:ascii="Cambria" w:eastAsia="Cambria" w:hAnsi="Cambria" w:cs="Cambria"/>
      <w:lang w:val="id"/>
    </w:rPr>
  </w:style>
  <w:style w:type="paragraph" w:styleId="Footer">
    <w:name w:val="footer"/>
    <w:basedOn w:val="Normal"/>
    <w:link w:val="FooterChar"/>
    <w:uiPriority w:val="99"/>
    <w:unhideWhenUsed/>
    <w:rsid w:val="009A4CEE"/>
    <w:pPr>
      <w:tabs>
        <w:tab w:val="center" w:pos="4513"/>
        <w:tab w:val="right" w:pos="9026"/>
      </w:tabs>
    </w:pPr>
  </w:style>
  <w:style w:type="character" w:customStyle="1" w:styleId="FooterChar">
    <w:name w:val="Footer Char"/>
    <w:basedOn w:val="DefaultParagraphFont"/>
    <w:link w:val="Footer"/>
    <w:uiPriority w:val="99"/>
    <w:rsid w:val="009A4CEE"/>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journal.undip.ac.id/index.php/mmh/article/view/446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kumonline.com/klinik/a/tidak-tahu-barang-yang-dibeli-hasil-curian--bisakah-dipidana-lt53c906311f8a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klinik/a/istrict-liability-i-dalam-pidana-narkoti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erijaya.com/2025/08/kenapa-tidak-tahu-hukum-tetap-salah" TargetMode="External"/><Relationship Id="rId4" Type="http://schemas.openxmlformats.org/officeDocument/2006/relationships/settings" Target="settings.xml"/><Relationship Id="rId9" Type="http://schemas.openxmlformats.org/officeDocument/2006/relationships/hyperlink" Target="https://journals.usm.ac.id/index.php/julr/article/view/96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207C4-0526-4130-B1CA-2D7667BB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10</Pages>
  <Words>4336</Words>
  <Characters>24717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 Iftitah SH MH</dc:creator>
  <cp:lastModifiedBy>dhearezkycahaya@gmail.com</cp:lastModifiedBy>
  <cp:revision>145</cp:revision>
  <dcterms:created xsi:type="dcterms:W3CDTF">2026-07-13T03:02:00Z</dcterms:created>
  <dcterms:modified xsi:type="dcterms:W3CDTF">2026-07-19T07:00:00Z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2020-09-23T00:00:00Z</vt:filetime>
  </property>
  <property fmtid="{D5CDD505-2E9C-101B-9397-08002B2CF9AE}" pid="4" name="Creator">
    <vt:lpwstr>Microsoft® Word 2016</vt:lpwstr>
  </property>
  <property fmtid="{D5CDD505-2E9C-101B-9397-08002B2CF9AE}" pid="5" name="LastSaved">
    <vt:filetime>2026-07-13T00:00:00Z</vt:filetime>
  </property>
  <property fmtid="{D5CDD505-2E9C-101B-9397-08002B2CF9AE}" pid="6" name="Producer">
    <vt:lpwstr>Microsoft® Word 2016</vt:lpwstr>
  </property>
</Properties>
</file>