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1739E" w14:textId="77777777" w:rsidR="004406ED" w:rsidRDefault="004406ED">
      <w:pPr>
        <w:spacing w:after="0"/>
        <w:jc w:val="left"/>
        <w:rPr>
          <w:rFonts w:ascii="Cambria" w:hAnsi="Cambria"/>
          <w:sz w:val="28"/>
          <w:szCs w:val="28"/>
        </w:rPr>
      </w:pPr>
    </w:p>
    <w:p w14:paraId="5E964BFA" w14:textId="77777777" w:rsidR="004406ED" w:rsidRPr="004406ED" w:rsidRDefault="004406ED" w:rsidP="00DD6833">
      <w:pPr>
        <w:spacing w:after="0"/>
        <w:rPr>
          <w:rFonts w:ascii="Cambria" w:hAnsi="Cambria"/>
          <w:sz w:val="28"/>
          <w:szCs w:val="28"/>
        </w:rPr>
      </w:pPr>
      <w:r w:rsidRPr="004406ED">
        <w:rPr>
          <w:rFonts w:ascii="Cambria" w:hAnsi="Cambria"/>
          <w:sz w:val="28"/>
          <w:szCs w:val="28"/>
        </w:rPr>
        <w:t>Effects of Bionanofertilizer Concentration and NPK Fertilizer Rate on the Growth and Yield of Detap-1 Soybean (</w:t>
      </w:r>
      <w:r w:rsidRPr="004406ED">
        <w:rPr>
          <w:rFonts w:ascii="Cambria" w:hAnsi="Cambria"/>
          <w:i/>
          <w:iCs/>
          <w:sz w:val="28"/>
          <w:szCs w:val="28"/>
        </w:rPr>
        <w:t>Glycine max</w:t>
      </w:r>
      <w:r w:rsidRPr="004406ED">
        <w:rPr>
          <w:rFonts w:ascii="Cambria" w:hAnsi="Cambria"/>
          <w:sz w:val="28"/>
          <w:szCs w:val="28"/>
        </w:rPr>
        <w:t xml:space="preserve"> (L.) Merrill)</w:t>
      </w:r>
    </w:p>
    <w:p w14:paraId="0409EE11" w14:textId="77777777" w:rsidR="008533E0" w:rsidRDefault="008533E0" w:rsidP="008533E0">
      <w:pPr>
        <w:spacing w:after="0"/>
        <w:jc w:val="left"/>
        <w:rPr>
          <w:rFonts w:ascii="Cambria" w:hAnsi="Cambria"/>
          <w:b/>
          <w:bCs/>
          <w:caps/>
          <w:sz w:val="24"/>
        </w:rPr>
      </w:pPr>
    </w:p>
    <w:p w14:paraId="5F0AD44F" w14:textId="6BEBE657" w:rsidR="00010C6F" w:rsidRDefault="008533E0" w:rsidP="008533E0">
      <w:pPr>
        <w:spacing w:after="0"/>
        <w:jc w:val="left"/>
        <w:rPr>
          <w:szCs w:val="22"/>
          <w:highlight w:val="yellow"/>
          <w:lang w:val="id-ID"/>
        </w:rPr>
      </w:pPr>
      <w:r>
        <w:rPr>
          <w:rFonts w:ascii="Cambria" w:hAnsi="Cambria"/>
          <w:sz w:val="24"/>
          <w:lang w:val="id-ID"/>
        </w:rPr>
        <w:t>Mochammad Farizal Mahfud</w:t>
      </w:r>
      <w:r>
        <w:rPr>
          <w:rFonts w:ascii="Cambria" w:hAnsi="Cambria"/>
          <w:sz w:val="24"/>
          <w:vertAlign w:val="superscript"/>
          <w:lang w:val="en-US"/>
        </w:rPr>
        <w:t>1</w:t>
      </w:r>
      <w:r>
        <w:rPr>
          <w:rStyle w:val="EndnoteAnchor"/>
          <w:rFonts w:ascii="Cambria" w:hAnsi="Cambria"/>
          <w:sz w:val="24"/>
        </w:rPr>
        <w:endnoteReference w:id="1"/>
      </w:r>
      <w:r>
        <w:rPr>
          <w:rFonts w:ascii="Cambria" w:hAnsi="Cambria"/>
          <w:sz w:val="24"/>
          <w:lang w:val="en-US"/>
        </w:rPr>
        <w:t xml:space="preserve">, </w:t>
      </w:r>
      <w:r>
        <w:rPr>
          <w:rFonts w:ascii="Cambria" w:hAnsi="Cambria"/>
          <w:sz w:val="24"/>
          <w:lang w:val="id-ID"/>
        </w:rPr>
        <w:t>P</w:t>
      </w:r>
      <w:r w:rsidRPr="00B43F02">
        <w:rPr>
          <w:rFonts w:ascii="Cambria" w:hAnsi="Cambria"/>
          <w:sz w:val="24"/>
          <w:lang w:val="id-ID"/>
        </w:rPr>
        <w:t xml:space="preserve">alupi </w:t>
      </w:r>
      <w:r>
        <w:rPr>
          <w:rFonts w:ascii="Cambria" w:hAnsi="Cambria"/>
          <w:sz w:val="24"/>
          <w:lang w:val="id-ID"/>
        </w:rPr>
        <w:t>P</w:t>
      </w:r>
      <w:r w:rsidRPr="00B43F02">
        <w:rPr>
          <w:rFonts w:ascii="Cambria" w:hAnsi="Cambria"/>
          <w:sz w:val="24"/>
          <w:lang w:val="id-ID"/>
        </w:rPr>
        <w:t>uspitorini</w:t>
      </w:r>
      <w:r>
        <w:rPr>
          <w:rFonts w:ascii="Cambria" w:hAnsi="Cambria"/>
          <w:sz w:val="24"/>
          <w:vertAlign w:val="superscript"/>
          <w:lang w:val="id-ID"/>
        </w:rPr>
        <w:t xml:space="preserve">2, </w:t>
      </w:r>
      <w:r>
        <w:rPr>
          <w:szCs w:val="22"/>
          <w:lang w:val="id-ID"/>
        </w:rPr>
        <w:t>, Tri Endrawati</w:t>
      </w:r>
      <w:r w:rsidR="00E9011C">
        <w:rPr>
          <w:rFonts w:ascii="Cambria" w:hAnsi="Cambria"/>
          <w:sz w:val="24"/>
          <w:vertAlign w:val="superscript"/>
          <w:lang w:val="id-ID"/>
        </w:rPr>
        <w:t>3</w:t>
      </w:r>
      <w:r>
        <w:rPr>
          <w:szCs w:val="22"/>
          <w:lang w:val="id-ID"/>
        </w:rPr>
        <w:t xml:space="preserve"> </w:t>
      </w:r>
      <w:r w:rsidR="00E9011C">
        <w:rPr>
          <w:szCs w:val="22"/>
          <w:lang w:val="id-ID"/>
        </w:rPr>
        <w:t xml:space="preserve">, </w:t>
      </w:r>
      <w:r w:rsidR="00E9011C" w:rsidRPr="00B43F02">
        <w:rPr>
          <w:rFonts w:ascii="Cambria" w:hAnsi="Cambria"/>
          <w:sz w:val="24"/>
          <w:lang w:val="id-ID"/>
        </w:rPr>
        <w:t xml:space="preserve">Army </w:t>
      </w:r>
      <w:r w:rsidR="00E9011C">
        <w:rPr>
          <w:rFonts w:ascii="Cambria" w:hAnsi="Cambria"/>
          <w:sz w:val="24"/>
          <w:lang w:val="id-ID"/>
        </w:rPr>
        <w:t>D</w:t>
      </w:r>
      <w:r w:rsidR="00E9011C" w:rsidRPr="00B43F02">
        <w:rPr>
          <w:rFonts w:ascii="Cambria" w:hAnsi="Cambria"/>
          <w:sz w:val="24"/>
          <w:lang w:val="id-ID"/>
        </w:rPr>
        <w:t xml:space="preserve">ita </w:t>
      </w:r>
      <w:r w:rsidR="00E9011C">
        <w:rPr>
          <w:rFonts w:ascii="Cambria" w:hAnsi="Cambria"/>
          <w:sz w:val="24"/>
          <w:lang w:val="id-ID"/>
        </w:rPr>
        <w:t>S</w:t>
      </w:r>
      <w:r w:rsidR="00E9011C" w:rsidRPr="00B43F02">
        <w:rPr>
          <w:rFonts w:ascii="Cambria" w:hAnsi="Cambria"/>
          <w:sz w:val="24"/>
          <w:lang w:val="id-ID"/>
        </w:rPr>
        <w:t>erdani</w:t>
      </w:r>
      <w:r w:rsidR="00E9011C">
        <w:rPr>
          <w:rFonts w:ascii="Cambria" w:hAnsi="Cambria"/>
          <w:sz w:val="24"/>
          <w:vertAlign w:val="superscript"/>
          <w:lang w:val="id-ID"/>
        </w:rPr>
        <w:t>4</w:t>
      </w:r>
      <w:r w:rsidR="00E9011C">
        <w:rPr>
          <w:rFonts w:ascii="Cambria" w:hAnsi="Cambria"/>
          <w:sz w:val="24"/>
          <w:vertAlign w:val="superscript"/>
          <w:lang w:val="id-ID"/>
        </w:rPr>
        <w:t xml:space="preserve"> </w:t>
      </w:r>
      <w:r w:rsidRPr="00B43F02">
        <w:rPr>
          <w:rFonts w:ascii="Cambria" w:hAnsi="Cambria"/>
          <w:sz w:val="24"/>
          <w:lang w:val="en-US"/>
        </w:rPr>
        <w:t xml:space="preserve">Agung </w:t>
      </w:r>
      <w:r>
        <w:rPr>
          <w:rFonts w:ascii="Cambria" w:hAnsi="Cambria"/>
          <w:sz w:val="24"/>
          <w:lang w:val="en-US"/>
        </w:rPr>
        <w:t>S</w:t>
      </w:r>
      <w:r w:rsidRPr="00B43F02">
        <w:rPr>
          <w:rFonts w:ascii="Cambria" w:hAnsi="Cambria"/>
          <w:sz w:val="24"/>
          <w:lang w:val="en-US"/>
        </w:rPr>
        <w:t xml:space="preserve">etya </w:t>
      </w:r>
      <w:r>
        <w:rPr>
          <w:rFonts w:ascii="Cambria" w:hAnsi="Cambria"/>
          <w:sz w:val="24"/>
          <w:lang w:val="en-US"/>
        </w:rPr>
        <w:t>W</w:t>
      </w:r>
      <w:r w:rsidRPr="00B43F02">
        <w:rPr>
          <w:rFonts w:ascii="Cambria" w:hAnsi="Cambria"/>
          <w:sz w:val="24"/>
          <w:lang w:val="en-US"/>
        </w:rPr>
        <w:t>ibowo</w:t>
      </w:r>
      <w:r w:rsidRPr="006B6B36">
        <w:rPr>
          <w:rFonts w:ascii="Cambria" w:hAnsi="Cambria"/>
          <w:sz w:val="24"/>
          <w:vertAlign w:val="superscript"/>
          <w:lang w:val="en-US"/>
        </w:rPr>
        <w:t>5</w:t>
      </w:r>
      <w:r>
        <w:rPr>
          <w:rFonts w:ascii="Cambria" w:hAnsi="Cambria"/>
          <w:sz w:val="24"/>
          <w:lang w:val="id-ID"/>
        </w:rPr>
        <w:t xml:space="preserve"> </w:t>
      </w:r>
    </w:p>
    <w:p w14:paraId="3D7FB237" w14:textId="77777777" w:rsidR="00010C6F" w:rsidRDefault="00010C6F" w:rsidP="00010C6F">
      <w:pPr>
        <w:spacing w:after="0"/>
        <w:ind w:left="90" w:right="263" w:hanging="90"/>
        <w:jc w:val="left"/>
        <w:rPr>
          <w:rFonts w:ascii="Cambria" w:hAnsi="Cambria"/>
          <w:sz w:val="20"/>
          <w:szCs w:val="20"/>
          <w:vertAlign w:val="superscript"/>
        </w:rPr>
      </w:pPr>
    </w:p>
    <w:p w14:paraId="66E4C7D0" w14:textId="69CD2F01" w:rsidR="00010C6F" w:rsidRDefault="00010C6F" w:rsidP="00010C6F">
      <w:pPr>
        <w:spacing w:after="0"/>
        <w:ind w:left="90" w:right="263" w:hanging="90"/>
        <w:jc w:val="left"/>
        <w:rPr>
          <w:rFonts w:ascii="Cambria" w:hAnsi="Cambria"/>
          <w:i/>
          <w:sz w:val="20"/>
          <w:szCs w:val="20"/>
        </w:rPr>
      </w:pPr>
      <w:r>
        <w:rPr>
          <w:rFonts w:ascii="Cambria" w:hAnsi="Cambria"/>
          <w:sz w:val="20"/>
          <w:szCs w:val="20"/>
          <w:vertAlign w:val="superscript"/>
        </w:rPr>
        <w:t>123</w:t>
      </w:r>
      <w:r w:rsidR="00B16E15">
        <w:rPr>
          <w:rFonts w:ascii="Cambria" w:hAnsi="Cambria"/>
          <w:sz w:val="20"/>
          <w:szCs w:val="20"/>
          <w:vertAlign w:val="superscript"/>
        </w:rPr>
        <w:t>45)</w:t>
      </w:r>
      <w:r w:rsidR="00B16E15">
        <w:rPr>
          <w:rFonts w:ascii="Cambria" w:hAnsi="Cambria"/>
          <w:i/>
          <w:sz w:val="20"/>
          <w:szCs w:val="20"/>
        </w:rPr>
        <w:t>D</w:t>
      </w:r>
      <w:r w:rsidRPr="008E5B36">
        <w:rPr>
          <w:rFonts w:ascii="Cambria" w:hAnsi="Cambria"/>
          <w:i/>
          <w:sz w:val="20"/>
          <w:szCs w:val="20"/>
        </w:rPr>
        <w:t>epartment of Agrotechnology, Faculty of Agriculture and Animal Science, Universitas Islam Balitar, Blitar,</w:t>
      </w:r>
      <w:r>
        <w:rPr>
          <w:rFonts w:ascii="Cambria" w:hAnsi="Cambria"/>
          <w:i/>
          <w:sz w:val="20"/>
          <w:szCs w:val="20"/>
        </w:rPr>
        <w:t xml:space="preserve"> </w:t>
      </w:r>
      <w:r w:rsidR="004E4E6A">
        <w:rPr>
          <w:rFonts w:ascii="Cambria" w:hAnsi="Cambria"/>
          <w:i/>
          <w:sz w:val="20"/>
          <w:szCs w:val="20"/>
        </w:rPr>
        <w:t>66137,</w:t>
      </w:r>
      <w:r>
        <w:rPr>
          <w:rFonts w:ascii="Cambria" w:hAnsi="Cambria"/>
          <w:b/>
          <w:bCs/>
          <w:i/>
          <w:sz w:val="20"/>
          <w:szCs w:val="20"/>
        </w:rPr>
        <w:t xml:space="preserve"> </w:t>
      </w:r>
      <w:r>
        <w:rPr>
          <w:rFonts w:ascii="Cambria" w:hAnsi="Cambria"/>
          <w:i/>
          <w:sz w:val="20"/>
          <w:szCs w:val="20"/>
        </w:rPr>
        <w:t>Indonesia</w:t>
      </w:r>
      <w:r w:rsidRPr="008E5B36">
        <w:rPr>
          <w:rFonts w:ascii="Cambria" w:hAnsi="Cambria"/>
          <w:i/>
          <w:sz w:val="20"/>
          <w:szCs w:val="20"/>
        </w:rPr>
        <w:t xml:space="preserve"> </w:t>
      </w:r>
    </w:p>
    <w:p w14:paraId="17B84A43" w14:textId="1AABE45F" w:rsidR="006F7945" w:rsidRDefault="004131DB" w:rsidP="004131DB">
      <w:pPr>
        <w:tabs>
          <w:tab w:val="left" w:pos="2071"/>
        </w:tabs>
        <w:spacing w:after="0"/>
        <w:ind w:left="90" w:right="263" w:hanging="90"/>
        <w:jc w:val="left"/>
        <w:rPr>
          <w:iCs/>
          <w:sz w:val="24"/>
        </w:rPr>
      </w:pPr>
      <w:r>
        <w:rPr>
          <w:i/>
          <w:szCs w:val="22"/>
        </w:rPr>
        <w:tab/>
      </w:r>
      <w:r>
        <w:rPr>
          <w:i/>
          <w:szCs w:val="22"/>
        </w:rPr>
        <w:tab/>
      </w:r>
    </w:p>
    <w:p w14:paraId="1C7BB9CF" w14:textId="79A599A8" w:rsidR="007E2060" w:rsidRPr="00570E62" w:rsidRDefault="00010C6F" w:rsidP="00570E62">
      <w:pPr>
        <w:spacing w:after="0"/>
        <w:rPr>
          <w:szCs w:val="22"/>
          <w:lang w:val="en-US"/>
        </w:rPr>
      </w:pPr>
      <w:r>
        <w:rPr>
          <w:rFonts w:ascii="Cambria" w:hAnsi="Cambria"/>
          <w:szCs w:val="22"/>
        </w:rPr>
        <w:t xml:space="preserve">Abstract. </w:t>
      </w:r>
      <w:r w:rsidR="007E2060" w:rsidRPr="00570E62">
        <w:rPr>
          <w:szCs w:val="22"/>
          <w:lang w:val="en-US"/>
        </w:rPr>
        <w:t>Soybean (</w:t>
      </w:r>
      <w:r w:rsidR="007E2060" w:rsidRPr="00570E62">
        <w:rPr>
          <w:i/>
          <w:iCs/>
          <w:szCs w:val="22"/>
          <w:lang w:val="en-US"/>
        </w:rPr>
        <w:t>Glycine max</w:t>
      </w:r>
      <w:r w:rsidR="007E2060" w:rsidRPr="00570E62">
        <w:rPr>
          <w:szCs w:val="22"/>
          <w:lang w:val="en-US"/>
        </w:rPr>
        <w:t xml:space="preserve"> (L.) Merrill) is one of the most important food crops in Indonesia because of its high nutritional value and extensive use in a wide range of processed food products. However, domestic soybean production remains insufficient to satisfy national demand, resulting in a continued dependence on imports. Improving soybean productivity through balanced nutrient management has therefore become a major priority in sustainable agriculture. The integration of bionanofertilizers with conventional NPK fertilizers offers considerable potential to enhance nutrient-use efficiency and crop productivity. This study aimed to determine the optimum combination of bionanofertilizer concentration and NPK fertilizer rate for improving the growth and yield of the Detap-1 soybean variety. The experiment was arranged in a factorial randomized block design with two factors and three replications. The first factor consisted of three bionanofertilizer concentrations (6, 9, and 12 mL L⁻¹), whereas the second factor consisted of three NPK fertilizer rates (6, 9, and 12 g plant⁻¹). Observed variables included plant height, stem diameter, number of pods, pod weight, number of seeds, seed weight, and 100-seed weight. Data were analyzed using analysis of variance (ANOVA), followed by Duncan's Multiple Range Test (DMRT) at the 5% significance level. The results showed that the application of 9 mL L⁻¹ bionanofertilizer combined with 9 g plant⁻¹ NPK fertilizer (B2S2) produced the highest growth and yield performance. This treatment resulted in a plant height of 63.3 cm, a stem diameter of 71.8 mm, 178.2 pods, a pod weight of 294.7 g, 423.7 seeds, a seed weight of 82.7 g, and a 100-seed weight of 24.7 g. These findings demonstrate that integrating bionanofertilizer with balanced NPK fertilization can substantially improve soybean growth and productivity through enhanced nutrient-use efficiency.</w:t>
      </w:r>
    </w:p>
    <w:p w14:paraId="4D4FC0BE" w14:textId="5194008E" w:rsidR="00010C6F" w:rsidRPr="00570E62" w:rsidRDefault="00010C6F" w:rsidP="00010C6F">
      <w:pPr>
        <w:pStyle w:val="AbstracttitleDERJournal"/>
        <w:spacing w:before="0"/>
        <w:jc w:val="both"/>
        <w:rPr>
          <w:rFonts w:ascii="Cambria" w:hAnsi="Cambria"/>
          <w:b w:val="0"/>
          <w:szCs w:val="22"/>
          <w:lang w:val="en-GB"/>
        </w:rPr>
      </w:pPr>
    </w:p>
    <w:p w14:paraId="07A22034" w14:textId="77777777" w:rsidR="00010C6F" w:rsidRDefault="00010C6F" w:rsidP="00010C6F">
      <w:pPr>
        <w:pStyle w:val="AbstracttitleDERJournal"/>
        <w:spacing w:before="0"/>
        <w:jc w:val="both"/>
        <w:rPr>
          <w:rFonts w:ascii="Cambria" w:hAnsi="Cambria"/>
          <w:szCs w:val="22"/>
          <w:lang w:val="id-ID"/>
        </w:rPr>
      </w:pPr>
      <w:r>
        <w:rPr>
          <w:rFonts w:ascii="Cambria" w:hAnsi="Cambria"/>
          <w:i/>
          <w:iCs/>
          <w:szCs w:val="22"/>
        </w:rPr>
        <w:t>Keywords:</w:t>
      </w:r>
      <w:r>
        <w:rPr>
          <w:rFonts w:ascii="Cambria" w:hAnsi="Cambria"/>
          <w:szCs w:val="22"/>
        </w:rPr>
        <w:t xml:space="preserve"> </w:t>
      </w:r>
      <w:r>
        <w:rPr>
          <w:rFonts w:ascii="Cambria" w:hAnsi="Cambria"/>
          <w:b w:val="0"/>
          <w:bCs/>
          <w:szCs w:val="22"/>
        </w:rPr>
        <w:t>B</w:t>
      </w:r>
      <w:r w:rsidRPr="00A23E68">
        <w:rPr>
          <w:rFonts w:ascii="Cambria" w:hAnsi="Cambria"/>
          <w:b w:val="0"/>
          <w:bCs/>
          <w:szCs w:val="22"/>
          <w:lang w:val="en-GB"/>
        </w:rPr>
        <w:t>ionanofertilizer</w:t>
      </w:r>
      <w:r>
        <w:rPr>
          <w:rFonts w:ascii="Cambria" w:hAnsi="Cambria"/>
          <w:b w:val="0"/>
          <w:bCs/>
          <w:szCs w:val="22"/>
          <w:lang w:val="en-GB"/>
        </w:rPr>
        <w:t>;</w:t>
      </w:r>
      <w:r w:rsidRPr="00A23E68">
        <w:rPr>
          <w:rFonts w:ascii="Cambria" w:hAnsi="Cambria"/>
          <w:b w:val="0"/>
          <w:bCs/>
          <w:szCs w:val="22"/>
          <w:lang w:val="en-GB"/>
        </w:rPr>
        <w:t xml:space="preserve"> </w:t>
      </w:r>
      <w:r>
        <w:rPr>
          <w:rFonts w:ascii="Cambria" w:hAnsi="Cambria"/>
          <w:b w:val="0"/>
          <w:bCs/>
          <w:szCs w:val="22"/>
          <w:lang w:val="en-GB"/>
        </w:rPr>
        <w:t>S</w:t>
      </w:r>
      <w:r w:rsidRPr="00A23E68">
        <w:rPr>
          <w:rFonts w:ascii="Cambria" w:hAnsi="Cambria"/>
          <w:b w:val="0"/>
          <w:bCs/>
          <w:szCs w:val="22"/>
          <w:lang w:val="en-GB"/>
        </w:rPr>
        <w:t>oybean</w:t>
      </w:r>
      <w:r>
        <w:rPr>
          <w:rFonts w:ascii="Cambria" w:hAnsi="Cambria"/>
          <w:b w:val="0"/>
          <w:bCs/>
          <w:szCs w:val="22"/>
          <w:lang w:val="en-GB"/>
        </w:rPr>
        <w:t>;</w:t>
      </w:r>
      <w:r w:rsidRPr="00A23E68">
        <w:rPr>
          <w:rFonts w:ascii="Cambria" w:hAnsi="Cambria"/>
          <w:b w:val="0"/>
          <w:bCs/>
          <w:szCs w:val="22"/>
          <w:lang w:val="en-GB"/>
        </w:rPr>
        <w:t xml:space="preserve"> </w:t>
      </w:r>
      <w:r>
        <w:rPr>
          <w:rFonts w:ascii="Cambria" w:hAnsi="Cambria"/>
          <w:b w:val="0"/>
          <w:bCs/>
          <w:szCs w:val="22"/>
          <w:lang w:val="en-GB"/>
        </w:rPr>
        <w:t>C</w:t>
      </w:r>
      <w:r w:rsidRPr="00A23E68">
        <w:rPr>
          <w:rFonts w:ascii="Cambria" w:hAnsi="Cambria"/>
          <w:b w:val="0"/>
          <w:bCs/>
          <w:szCs w:val="22"/>
          <w:lang w:val="en-GB"/>
        </w:rPr>
        <w:t>rop productivity</w:t>
      </w:r>
      <w:r>
        <w:rPr>
          <w:rFonts w:ascii="Cambria" w:hAnsi="Cambria"/>
          <w:b w:val="0"/>
          <w:bCs/>
          <w:szCs w:val="22"/>
          <w:lang w:val="en-GB"/>
        </w:rPr>
        <w:t xml:space="preserve">; </w:t>
      </w:r>
      <w:r w:rsidRPr="00A23E68">
        <w:rPr>
          <w:rFonts w:ascii="Cambria" w:hAnsi="Cambria"/>
          <w:b w:val="0"/>
          <w:bCs/>
          <w:szCs w:val="22"/>
          <w:lang w:val="en-GB"/>
        </w:rPr>
        <w:t>Detap-1 variety</w:t>
      </w:r>
      <w:r>
        <w:rPr>
          <w:rFonts w:ascii="Cambria" w:hAnsi="Cambria"/>
          <w:b w:val="0"/>
          <w:bCs/>
          <w:szCs w:val="22"/>
          <w:lang w:val="en-GB"/>
        </w:rPr>
        <w:t>;</w:t>
      </w:r>
      <w:r w:rsidRPr="00A23E68">
        <w:rPr>
          <w:rFonts w:ascii="Cambria" w:hAnsi="Cambria"/>
          <w:b w:val="0"/>
          <w:bCs/>
          <w:szCs w:val="22"/>
          <w:lang w:val="en-GB"/>
        </w:rPr>
        <w:t xml:space="preserve"> NPK fertilizer</w:t>
      </w:r>
    </w:p>
    <w:p w14:paraId="71BA22EF" w14:textId="77777777" w:rsidR="00010C6F" w:rsidRDefault="00010C6F" w:rsidP="00010C6F">
      <w:pPr>
        <w:spacing w:after="0"/>
        <w:ind w:left="1166" w:hanging="86"/>
        <w:rPr>
          <w:sz w:val="24"/>
        </w:rPr>
      </w:pPr>
    </w:p>
    <w:p w14:paraId="0CDB25EF" w14:textId="77777777" w:rsidR="00010C6F" w:rsidRDefault="00010C6F" w:rsidP="00010C6F">
      <w:pPr>
        <w:pStyle w:val="Text"/>
        <w:tabs>
          <w:tab w:val="left" w:pos="426"/>
        </w:tabs>
        <w:spacing w:after="120" w:line="240" w:lineRule="auto"/>
        <w:ind w:firstLine="0"/>
        <w:rPr>
          <w:rFonts w:ascii="Cambria" w:hAnsi="Cambria"/>
          <w:b/>
          <w:bCs/>
          <w:kern w:val="2"/>
          <w:sz w:val="24"/>
          <w:szCs w:val="24"/>
        </w:rPr>
      </w:pPr>
      <w:r>
        <w:rPr>
          <w:rFonts w:ascii="Cambria" w:hAnsi="Cambria"/>
          <w:b/>
          <w:bCs/>
          <w:kern w:val="2"/>
          <w:sz w:val="24"/>
          <w:szCs w:val="24"/>
        </w:rPr>
        <w:t>1.</w:t>
      </w:r>
      <w:r>
        <w:rPr>
          <w:rFonts w:ascii="Cambria" w:hAnsi="Cambria"/>
          <w:b/>
          <w:bCs/>
          <w:kern w:val="2"/>
          <w:sz w:val="24"/>
          <w:szCs w:val="24"/>
        </w:rPr>
        <w:tab/>
        <w:t>Introduction</w:t>
      </w:r>
    </w:p>
    <w:p w14:paraId="022663CC" w14:textId="77777777" w:rsidR="00570E62" w:rsidRPr="00570E62" w:rsidRDefault="00570E62" w:rsidP="00570E62">
      <w:pPr>
        <w:pStyle w:val="TEXTs"/>
        <w:spacing w:after="0"/>
        <w:rPr>
          <w:rFonts w:ascii="Cambria" w:hAnsi="Cambria"/>
          <w:sz w:val="24"/>
          <w:lang w:val="en-ID"/>
        </w:rPr>
      </w:pPr>
      <w:r w:rsidRPr="00570E62">
        <w:rPr>
          <w:rFonts w:ascii="Cambria" w:hAnsi="Cambria"/>
          <w:sz w:val="24"/>
          <w:lang w:val="en-GB"/>
        </w:rPr>
        <w:t>Soybean (</w:t>
      </w:r>
      <w:r w:rsidRPr="00570E62">
        <w:rPr>
          <w:rFonts w:ascii="Cambria" w:hAnsi="Cambria"/>
          <w:i/>
          <w:iCs/>
          <w:sz w:val="24"/>
          <w:lang w:val="en-GB"/>
        </w:rPr>
        <w:t>Glycine max</w:t>
      </w:r>
      <w:r w:rsidRPr="00570E62">
        <w:rPr>
          <w:rFonts w:ascii="Cambria" w:hAnsi="Cambria"/>
          <w:sz w:val="24"/>
          <w:lang w:val="en-GB"/>
        </w:rPr>
        <w:t xml:space="preserve"> (L.) Merrill) is one of Indonesia's strategic food crops owing to its high nutritional value and broad utilization in both household consumption and agro-industrial processing.</w:t>
      </w:r>
      <w:r w:rsidRPr="00570E62">
        <w:rPr>
          <w:rFonts w:ascii="Cambria" w:hAnsi="Cambria"/>
          <w:sz w:val="24"/>
          <w:lang w:val="en-ID"/>
        </w:rPr>
        <w:t xml:space="preserve"> </w:t>
      </w:r>
      <w:r w:rsidR="00010C6F" w:rsidRPr="004A4EEE">
        <w:rPr>
          <w:rFonts w:ascii="Cambria" w:hAnsi="Cambria"/>
          <w:sz w:val="24"/>
          <w:lang w:val="en-ID"/>
        </w:rPr>
        <w:t xml:space="preserve">Soybean is widely processed into various food products, including tofu, tempeh, soy sauce, tauco, and soy milk. Its nutritional composition, consisting of approximately 35% protein, 18% fat, and 35% carbohydrates, contributes significantly to its economic value and potential for agro-industrial development </w:t>
      </w:r>
      <w:r w:rsidR="009A4030">
        <w:rPr>
          <w:rFonts w:ascii="Cambria" w:hAnsi="Cambria"/>
          <w:sz w:val="24"/>
          <w:lang w:val="en-ID"/>
        </w:rPr>
        <w:fldChar w:fldCharType="begin"/>
      </w:r>
      <w:r w:rsidR="009A4030">
        <w:rPr>
          <w:rFonts w:ascii="Cambria" w:hAnsi="Cambria"/>
          <w:sz w:val="24"/>
          <w:lang w:val="en-ID"/>
        </w:rPr>
        <w:instrText xml:space="preserve"> ADDIN ZOTERO_ITEM CSL_CITATION {"citationID":"2TNRWgyo","properties":{"unsorted":false,"formattedCitation":"(Hamid et al., 2020)","plainCitation":"(Hamid et al., 2020)","noteIndex":0},"citationItems":[{"id":366,"uris":["http://zotero.org/users/local/jSzQgGyj/items/G7JGK73P"],"itemData":{"id":366,"type":"article-journal","abstract":"Soybean (Glycine max [L.] Merrill) Anjasmoro variety is one of the superior soybean varieties widely cultivated in West Kalimantan. The growth of soybean can be increased by applying liquid organic fertilizer namely goat biourine. The purpose of this study was to determine the goat biourine quality and the effect of the application of goat biourine on the growth of Anjasmoro variety soybean plants. This study uses a Completely Randomized Design (CRD) consisting of five treatments, namely without biourine/control, 100 mL/L biourine, 200 mL/L biourine, 300 biourine mL/L and  400 mL/L biourine. Each treatment was repeated 5 times to obtain 25 experimental units. The analysis of goat biourine showed the value of C-Organic 2.03%, pH 4.83, N 0.72%, P 0.004% and K 0.234%. The results showed that apply of goat biourine had a significant effect on plant height, number of leaves, shoot wet of weight, shoot dry of weight, number of branches, number of root nodules and the number of effective root nodules, but it had not a significant effect on root wet of weight and root dry of weight.","container-title":"Jurnal Protobiont","DOI":"10.26418/protobiont.v9i1.40677","ISSN":"2338-7874","issue":"1","journalAbbreviation":"JPRB","source":"DOI.org (Crossref)","title":"Pertumbuhan Kedelai (Glycine Max [L.] Merrill) Varietis Anjasmoro dengan Pemberian Kambing (Capra Aegagrus Hircus)","URL":"https://jurnal.untan.ac.id/index.php/jprb/article/view/40677","volume":"9","author":[{"family":"Hamid","given":"Abd."},{"family":"Linda","given":"Riza"},{"family":"Mukarlina","given":"Mukarlina"}],"accessed":{"date-parts":[["2026",7,21]]},"issued":{"date-parts":[["2020",4,15]]}}}],"schema":"https://github.com/citation-style-language/schema/raw/master/csl-citation.json"} </w:instrText>
      </w:r>
      <w:r w:rsidR="009A4030">
        <w:rPr>
          <w:rFonts w:ascii="Cambria" w:hAnsi="Cambria"/>
          <w:sz w:val="24"/>
          <w:lang w:val="en-ID"/>
        </w:rPr>
        <w:fldChar w:fldCharType="separate"/>
      </w:r>
      <w:r w:rsidR="009A4030" w:rsidRPr="009A4030">
        <w:rPr>
          <w:rFonts w:ascii="Cambria" w:hAnsi="Cambria"/>
          <w:sz w:val="24"/>
          <w:lang w:val="en-ID"/>
        </w:rPr>
        <w:t>(Hamid et al., 2020)</w:t>
      </w:r>
      <w:r w:rsidR="009A4030">
        <w:rPr>
          <w:rFonts w:ascii="Cambria" w:hAnsi="Cambria"/>
          <w:sz w:val="24"/>
          <w:lang w:val="en-ID"/>
        </w:rPr>
        <w:fldChar w:fldCharType="end"/>
      </w:r>
      <w:r w:rsidR="009A4030">
        <w:rPr>
          <w:rFonts w:ascii="Cambria" w:hAnsi="Cambria"/>
          <w:sz w:val="24"/>
          <w:lang w:val="en-ID"/>
        </w:rPr>
        <w:t xml:space="preserve">. </w:t>
      </w:r>
      <w:r w:rsidRPr="00570E62">
        <w:rPr>
          <w:rFonts w:ascii="Cambria" w:hAnsi="Cambria"/>
          <w:sz w:val="24"/>
          <w:lang w:val="en-GB"/>
        </w:rPr>
        <w:t>Consequently, improving soybean production has become an essential component of Indonesia's food security strategy.</w:t>
      </w:r>
    </w:p>
    <w:p w14:paraId="7778F5B4" w14:textId="15CCFB14" w:rsidR="004C5BF8" w:rsidRDefault="00010C6F" w:rsidP="004C5BF8">
      <w:pPr>
        <w:pStyle w:val="TEXTs"/>
        <w:spacing w:after="0"/>
        <w:rPr>
          <w:rFonts w:ascii="Cambria" w:hAnsi="Cambria"/>
          <w:sz w:val="24"/>
          <w:lang w:val="en-ID"/>
        </w:rPr>
      </w:pPr>
      <w:r w:rsidRPr="004A4EEE">
        <w:rPr>
          <w:rFonts w:ascii="Cambria" w:hAnsi="Cambria"/>
          <w:sz w:val="24"/>
          <w:lang w:val="en-ID"/>
        </w:rPr>
        <w:t xml:space="preserve">Despite its strategic importance, domestic soybean production remains insufficient to satisfy national consumption demands. </w:t>
      </w:r>
      <w:r w:rsidR="00960600" w:rsidRPr="00960600">
        <w:rPr>
          <w:rFonts w:ascii="Cambria" w:hAnsi="Cambria"/>
          <w:sz w:val="24"/>
          <w:lang w:val="en-GB"/>
        </w:rPr>
        <w:t xml:space="preserve">Indonesia continues to depend heavily on soybean imports to meet domestic demand. </w:t>
      </w:r>
      <w:r w:rsidRPr="004A4EEE">
        <w:rPr>
          <w:rFonts w:ascii="Cambria" w:hAnsi="Cambria"/>
          <w:sz w:val="24"/>
          <w:lang w:val="en-ID"/>
        </w:rPr>
        <w:t xml:space="preserve">Previous reports indicated that soybean production experienced a decline from approximately 1.3 million tons in 2014 to nearly one million tons in 2015, demonstrating the necessity of improving soybean productivity through appropriate cultivation technologies </w:t>
      </w:r>
      <w:r w:rsidR="000F2016">
        <w:rPr>
          <w:rFonts w:ascii="Cambria" w:hAnsi="Cambria"/>
          <w:sz w:val="24"/>
          <w:lang w:val="en-ID"/>
        </w:rPr>
        <w:fldChar w:fldCharType="begin"/>
      </w:r>
      <w:r w:rsidR="000F2016">
        <w:rPr>
          <w:rFonts w:ascii="Cambria" w:hAnsi="Cambria"/>
          <w:sz w:val="24"/>
          <w:lang w:val="en-ID"/>
        </w:rPr>
        <w:instrText xml:space="preserve"> ADDIN ZOTERO_ITEM CSL_CITATION {"citationID":"Wi4DhXbI","properties":{"unsorted":false,"formattedCitation":"(Afidah, 2019)","plainCitation":"(Afidah, 2019)","noteIndex":0},"citationItems":[{"id":370,"uris":["http://zotero.org/users/local/jSzQgGyj/items/5L56Q935"],"itemData":{"id":370,"type":"article-journal","language":"id","source":"Zotero","title":"Pengaruh Lama Penyinaran (Fotoperiode) Terhadap Pertumbuhan dan Hasil pada Tiga Varietas Kedelai (Glycine max L. Merr)","volume":"7","author":[{"family":"Afidah","given":"Ika Khurotul"}],"issued":{"date-parts":[["2019"]]}}}],"schema":"https://github.com/citation-style-language/schema/raw/master/csl-citation.json"} </w:instrText>
      </w:r>
      <w:r w:rsidR="000F2016">
        <w:rPr>
          <w:rFonts w:ascii="Cambria" w:hAnsi="Cambria"/>
          <w:sz w:val="24"/>
          <w:lang w:val="en-ID"/>
        </w:rPr>
        <w:fldChar w:fldCharType="separate"/>
      </w:r>
      <w:r w:rsidR="000F2016" w:rsidRPr="000F2016">
        <w:rPr>
          <w:rFonts w:ascii="Cambria" w:hAnsi="Cambria"/>
          <w:sz w:val="24"/>
          <w:lang w:val="en-ID"/>
        </w:rPr>
        <w:t>(Afidah, 2019)</w:t>
      </w:r>
      <w:r w:rsidR="000F2016">
        <w:rPr>
          <w:rFonts w:ascii="Cambria" w:hAnsi="Cambria"/>
          <w:sz w:val="24"/>
          <w:lang w:val="en-ID"/>
        </w:rPr>
        <w:fldChar w:fldCharType="end"/>
      </w:r>
      <w:r w:rsidR="000F2016">
        <w:rPr>
          <w:rFonts w:ascii="Cambria" w:hAnsi="Cambria"/>
          <w:sz w:val="24"/>
          <w:lang w:val="en-ID"/>
        </w:rPr>
        <w:t xml:space="preserve">. </w:t>
      </w:r>
      <w:r w:rsidRPr="004A4EEE">
        <w:rPr>
          <w:rFonts w:ascii="Cambria" w:hAnsi="Cambria"/>
          <w:sz w:val="24"/>
          <w:lang w:val="en-ID"/>
        </w:rPr>
        <w:t>Increasing soybean production has therefore become an important agricultural priority in Indonesia.</w:t>
      </w:r>
    </w:p>
    <w:p w14:paraId="4F8D5851" w14:textId="59DA4132" w:rsidR="004C5BF8" w:rsidRDefault="00010C6F" w:rsidP="004C5BF8">
      <w:pPr>
        <w:pStyle w:val="TEXTs"/>
        <w:spacing w:after="0"/>
        <w:ind w:left="426" w:right="-392" w:firstLine="283"/>
        <w:rPr>
          <w:rFonts w:ascii="Cambria" w:hAnsi="Cambria"/>
          <w:sz w:val="24"/>
          <w:lang w:val="en-ID"/>
        </w:rPr>
      </w:pPr>
      <w:r w:rsidRPr="004A4EEE">
        <w:rPr>
          <w:rFonts w:ascii="Cambria" w:hAnsi="Cambria"/>
          <w:sz w:val="24"/>
          <w:lang w:val="en-ID"/>
        </w:rPr>
        <w:lastRenderedPageBreak/>
        <w:t xml:space="preserve">Several agronomic approaches have been developed to enhance soybean productivity, including the utilization of superior varieties and balanced fertilization strategies. The application of fertilizers containing both macro- and micronutrients is essential for supporting optimal plant growth and yield. Furthermore, the adoption of superior soybean varieties contributes significantly to increasing productivity due to their desirable characteristics, such as high yield potential, improved tolerance to environmental stresses, and better resistance to pests and diseases </w:t>
      </w:r>
      <w:r w:rsidR="00C73051">
        <w:rPr>
          <w:rFonts w:ascii="Cambria" w:hAnsi="Cambria"/>
          <w:sz w:val="24"/>
          <w:lang w:val="en-ID"/>
        </w:rPr>
        <w:fldChar w:fldCharType="begin"/>
      </w:r>
      <w:r w:rsidR="00C73051">
        <w:rPr>
          <w:rFonts w:ascii="Cambria" w:hAnsi="Cambria"/>
          <w:sz w:val="24"/>
          <w:lang w:val="en-ID"/>
        </w:rPr>
        <w:instrText xml:space="preserve"> ADDIN ZOTERO_ITEM CSL_CITATION {"citationID":"KVlqDMbE","properties":{"unsorted":false,"formattedCitation":"(Kamilah et al., 2024)","plainCitation":"(Kamilah et al., 2024)","noteIndex":0},"citationItems":[{"id":371,"uris":["http://zotero.org/users/local/jSzQgGyj/items/SXB533Q9"],"itemData":{"id":371,"type":"article-journal","abstract":"Penggunaan lahan secara intensif dapat menurunkan kesuburan pada tanah sehingga produksi kedelai di Banten menurun. Pemberian pupuk NPK dan pupuk organik cair (POC) buah maja dapat meningkatkan produktivitas hasil tanaman kedelai. Penelitian ini bertujuan untuk mengetahui pengaruh respons pertumbuhan dan hasil tanaman kedelai (Glycine max (L.) Merril) terhadap pemberian NPK dan pupuk cair organik buah maja. Penelitian ini menggunakan metode Rancangan Acak Kelompok (RAK) dua faktor. Terdiri atas pupuk NPK (0 g (kontrol), 0,9 g/polybag, 1,8 g/polybag, dan 2,7 g/polybag) dan POC buah maja (10 ml/l, 20 ml/l, 30 ml/l, dan 40 ml/l). Apabila hasil analisis menunjukkan pengaruh nyata atau sangat nyata dilakukan uji lanjut Duncan multiple range test (DMRT). Hasil penelitian menunjukkan bahwa pupuk NPK memiliki pengaruh nyata pada parameter tinggi tanaman dan umur berbunga. Hasil analisis sidik ragam POC buah maja menunjukkan pengaruh nyata dan sangat nyata pada diameter batang umur 4 dan 5 MST.  Terdapat interaksi beda nyata antar pupuk NPK dan POC pada parameter diameter batang hanya umur 2 MST. Aplikasi pupuk NPK dan POC buah maja memberikan pengaruh terhadap pertumbuhan dan hasil tanaman kedelai.","container-title":"Agroteknika","DOI":"10.55043/agroteknika.v7i4.449","ISSN":"2685-3450, 2685-3353","issue":"4","journalAbbreviation":"agroteknika","license":"https://creativecommons.org/licenses/by-sa/4.0","page":"510-523","source":"DOI.org (Crossref)","title":"Pertumbuhan dan Hasil Kedelai (Glycine max (L.) Merrill) terhadap Pemberian Pupuk NPK dan Pupuk Organik Cair Buah Maja (Aegle marmelos L.)","volume":"7","author":[{"family":"Kamilah","given":"Noufah"},{"family":"Nurmayulis","given":"Nurmayulis"},{"family":"Yenny","given":"Ratna Fitry"},{"family":"Sodiq","given":"Abdul Hasyim"}],"issued":{"date-parts":[["2024",12,25]]}}}],"schema":"https://github.com/citation-style-language/schema/raw/master/csl-citation.json"} </w:instrText>
      </w:r>
      <w:r w:rsidR="00C73051">
        <w:rPr>
          <w:rFonts w:ascii="Cambria" w:hAnsi="Cambria"/>
          <w:sz w:val="24"/>
          <w:lang w:val="en-ID"/>
        </w:rPr>
        <w:fldChar w:fldCharType="separate"/>
      </w:r>
      <w:r w:rsidR="00C73051" w:rsidRPr="00C73051">
        <w:rPr>
          <w:rFonts w:ascii="Cambria" w:hAnsi="Cambria"/>
          <w:sz w:val="24"/>
          <w:lang w:val="en-ID"/>
        </w:rPr>
        <w:t>(Kamilah et al., 2024)</w:t>
      </w:r>
      <w:r w:rsidR="00C73051">
        <w:rPr>
          <w:rFonts w:ascii="Cambria" w:hAnsi="Cambria"/>
          <w:sz w:val="24"/>
          <w:lang w:val="en-ID"/>
        </w:rPr>
        <w:fldChar w:fldCharType="end"/>
      </w:r>
      <w:r w:rsidR="00C73051">
        <w:rPr>
          <w:rFonts w:ascii="Cambria" w:hAnsi="Cambria"/>
          <w:sz w:val="24"/>
          <w:lang w:val="en-ID"/>
        </w:rPr>
        <w:t xml:space="preserve">. </w:t>
      </w:r>
      <w:r w:rsidRPr="004A4EEE">
        <w:rPr>
          <w:rFonts w:ascii="Cambria" w:hAnsi="Cambria"/>
          <w:sz w:val="24"/>
          <w:lang w:val="en-ID"/>
        </w:rPr>
        <w:t>Detap-1 soybean variety represents one of the promising superior varieties that has considerable potential for cultivation under Indonesian agroecosystems.</w:t>
      </w:r>
    </w:p>
    <w:p w14:paraId="31FC1ABC" w14:textId="523908E8" w:rsidR="00944648" w:rsidRDefault="004C5BF8" w:rsidP="00944648">
      <w:pPr>
        <w:pStyle w:val="TEXTs"/>
        <w:spacing w:after="0"/>
        <w:ind w:left="426" w:right="-392" w:firstLine="283"/>
        <w:rPr>
          <w:rFonts w:ascii="Cambria" w:hAnsi="Cambria"/>
          <w:sz w:val="24"/>
          <w:lang w:val="en-ID"/>
        </w:rPr>
      </w:pPr>
      <w:r>
        <w:rPr>
          <w:rFonts w:ascii="Cambria" w:hAnsi="Cambria"/>
          <w:sz w:val="24"/>
          <w:lang w:val="en-ID"/>
        </w:rPr>
        <w:t>Re</w:t>
      </w:r>
      <w:r w:rsidR="00010C6F" w:rsidRPr="004A4EEE">
        <w:rPr>
          <w:rFonts w:ascii="Cambria" w:hAnsi="Cambria"/>
          <w:sz w:val="24"/>
          <w:lang w:val="en-ID"/>
        </w:rPr>
        <w:t xml:space="preserve">cent advances in agricultural nanotechnology have introduced innovative fertilizer formulations designed to improve nutrient use efficiency and environmental sustainability. Nanotechnology-based fertilizers have gained increasing attention because their nanoparticle properties enhance nutrient availability, biological activity, surface interactions, and controlled nutrient release mechanisms </w:t>
      </w:r>
      <w:r w:rsidR="00EE0C71">
        <w:rPr>
          <w:rFonts w:ascii="Cambria" w:hAnsi="Cambria"/>
          <w:sz w:val="24"/>
          <w:lang w:val="en-ID"/>
        </w:rPr>
        <w:fldChar w:fldCharType="begin"/>
      </w:r>
      <w:r w:rsidR="00EE0C71">
        <w:rPr>
          <w:rFonts w:ascii="Cambria" w:hAnsi="Cambria"/>
          <w:sz w:val="24"/>
          <w:lang w:val="en-ID"/>
        </w:rPr>
        <w:instrText xml:space="preserve"> ADDIN ZOTERO_ITEM CSL_CITATION {"citationID":"J9NhmcwN","properties":{"unsorted":false,"formattedCitation":"(Abdelkader et al., 2024)","plainCitation":"(Abdelkader et al., 2024)","noteIndex":0},"citationItems":[{"id":373,"uris":["http://zotero.org/users/local/jSzQgGyj/items/VZD2QPWX"],"itemData":{"id":373,"type":"article-journal","abstract":"Vegetables accumulate considerable amounts of nitrates that enter the human body through nutrition, causing severe problems. This study aims to determine celery plants’ response to replacing mineral nitrogen fertilizers with bio-nanoparticles. Three different treatments of nano bio-nitrogen fertilizer (20, 30, and 40 ppm) in addition to traditional nitrogen (NH4NO3) treatment (100 kg N/acre) were applied on two celery cultivars (Balady and Utah Tall 52–75). Plant growth parameters, vitamin C, carotenoids, nitrate accumulation, macro-nutrient uptakes, and antioxidant activities were determined at the vegetative marketing stage. Our findings reveal a significant positive impact of replacing conventional nitrogen fertilizers with bio-nano-synthesized forms. Notably, applying bio-nanoparticles improved celery yield efficiency, ranging from 5.1 to 5.8 tons per acre, suggesting a viable alternative to traditional fertilization methods. Furthermore, transitioning from mineral to organic fertilizers in nanoparticle form reduced nitrate accumulation in fresh celery crops, decreasing nitrate levels from 342.5 ppm to as low as 100 ppm. This environmentally conscious approach offers a sustainable solution to mitigate chemical residues and enhance celery’s flavor, nutritional value, and health benefits. Specifically, our results demonstrate alleviated nitrate contents in fresh celery leaves after applying bio-nano-fertilizer. Nitrate levels in treated plants decreased by up to 70.0% compared to traditional fertilization methods. This highlights the potential of organic nano-fertilizers to address concerns related to nitrate accumulation, thereby promoting safer and healthier vegetable consumption. By advocating for organic nano-fertilizers, we propose a promising strategy to optimize celery fertilizing management, ensuring sustainable farming and consumer well-being.","container-title":"Horticulturae","DOI":"10.3390/horticulturae10080789","ISSN":"2311-7524","issue":"8","journalAbbreviation":"Horticulturae","language":"en","page":"789","source":"DOI.org (Crossref)","title":"Biogenic Nano-Fertilizers as a Sustainable Approach to Alleviate Nitrate Accumulation and Enrich Quality Traits of Vegetable Crops","volume":"10","author":[{"family":"Abdelkader","given":"Mostafa"},{"family":"Zargar","given":"Meisam"},{"family":"Bayat","given":"Maryam"},{"family":"Pakina","given":"Elena"},{"family":"Shehata","given":"Ahmed S. A."},{"family":"Suliman","given":"Ahmed A."}],"issued":{"date-parts":[["2024",7,26]]}}}],"schema":"https://github.com/citation-style-language/schema/raw/master/csl-citation.json"} </w:instrText>
      </w:r>
      <w:r w:rsidR="00EE0C71">
        <w:rPr>
          <w:rFonts w:ascii="Cambria" w:hAnsi="Cambria"/>
          <w:sz w:val="24"/>
          <w:lang w:val="en-ID"/>
        </w:rPr>
        <w:fldChar w:fldCharType="separate"/>
      </w:r>
      <w:r w:rsidR="00EE0C71" w:rsidRPr="00EE0C71">
        <w:rPr>
          <w:rFonts w:ascii="Cambria" w:hAnsi="Cambria"/>
          <w:sz w:val="24"/>
          <w:lang w:val="en-ID"/>
        </w:rPr>
        <w:t>(Abdelkader et al., 2024)</w:t>
      </w:r>
      <w:r w:rsidR="00EE0C71">
        <w:rPr>
          <w:rFonts w:ascii="Cambria" w:hAnsi="Cambria"/>
          <w:sz w:val="24"/>
          <w:lang w:val="en-ID"/>
        </w:rPr>
        <w:fldChar w:fldCharType="end"/>
      </w:r>
      <w:r w:rsidR="00EE0C71">
        <w:rPr>
          <w:rFonts w:ascii="Cambria" w:hAnsi="Cambria"/>
          <w:sz w:val="24"/>
          <w:lang w:val="en-ID"/>
        </w:rPr>
        <w:t xml:space="preserve">. </w:t>
      </w:r>
      <w:r w:rsidR="00010C6F" w:rsidRPr="004A4EEE">
        <w:rPr>
          <w:rFonts w:ascii="Cambria" w:hAnsi="Cambria"/>
          <w:sz w:val="24"/>
          <w:lang w:val="en-ID"/>
        </w:rPr>
        <w:t>Among these innovations, bionanofertilizer combines nanotechnology with beneficial microorganisms capable of improving nutrient absorption and stimulating plant growth. The controlled-release characteristics of bionanofertilizer allow nutrients to be supplied gradually according to plant requirements, thereby reducing nutrient losses through leaching, volatilization, and soil fixation processes (</w:t>
      </w:r>
      <w:r w:rsidR="00010C6F" w:rsidRPr="00041B40">
        <w:rPr>
          <w:rFonts w:ascii="Cambria" w:hAnsi="Cambria"/>
          <w:sz w:val="24"/>
          <w:lang w:val="en-ID"/>
        </w:rPr>
        <w:t>Chhipa, 2022).</w:t>
      </w:r>
    </w:p>
    <w:p w14:paraId="62CCB873" w14:textId="10212FA2" w:rsidR="00E347C7" w:rsidRDefault="00010C6F" w:rsidP="00E347C7">
      <w:pPr>
        <w:pStyle w:val="TEXTs"/>
        <w:spacing w:after="0"/>
        <w:ind w:left="426" w:right="-392" w:firstLine="283"/>
        <w:rPr>
          <w:rFonts w:ascii="Cambria" w:hAnsi="Cambria"/>
          <w:sz w:val="24"/>
          <w:lang w:val="en-ID"/>
        </w:rPr>
      </w:pPr>
      <w:r w:rsidRPr="004A4EEE">
        <w:rPr>
          <w:rFonts w:ascii="Cambria" w:hAnsi="Cambria"/>
          <w:sz w:val="24"/>
          <w:lang w:val="en-ID"/>
        </w:rPr>
        <w:t xml:space="preserve">In addition to improving nutrient availability, bionanofertilizer promotes physiological processes associated with plant development. Nanoparticles facilitate nutrient transport through roots and leaf stomata, while beneficial microorganisms produce phytohormones such as auxins, gibberellins, and cytokinins that stimulate root development and enhance nutrient uptake efficiency </w:t>
      </w:r>
      <w:r w:rsidR="00120A49">
        <w:rPr>
          <w:rFonts w:ascii="Cambria" w:hAnsi="Cambria"/>
          <w:sz w:val="24"/>
          <w:lang w:val="en-ID"/>
        </w:rPr>
        <w:fldChar w:fldCharType="begin"/>
      </w:r>
      <w:r w:rsidR="00120A49">
        <w:rPr>
          <w:rFonts w:ascii="Cambria" w:hAnsi="Cambria"/>
          <w:sz w:val="24"/>
          <w:lang w:val="en-ID"/>
        </w:rPr>
        <w:instrText xml:space="preserve"> ADDIN ZOTERO_ITEM CSL_CITATION {"citationID":"KXZTMG31","properties":{"unsorted":false,"formattedCitation":"(Prokisch et al., 2024)","plainCitation":"(Prokisch et al., 2024)","noteIndex":0},"citationItems":[{"id":374,"uris":["http://zotero.org/users/local/jSzQgGyj/items/QD9P6366"],"itemData":{"id":374,"type":"article-journal","abstract":"Climate change is a global problem facing all aspects of the agricultural sector. Heat stress due to increasing atmospheric temperature is one of the most common climate change impacts on agriculture. Heat stress has direct effects on crop production, along with indirect effects through associated problems such as drought, salinity, and pathogenic stresses. Approaches reported to be effective to mitigate heat stress include nano-management. Nano-agrochemicals such as nanofertilizers and nanopesticides are emerging approaches that have shown promise against heat stress, particularly biogenic nano-sources. Nanomaterials are favorable for crop production due to their low toxicity and eco-friendly action. This review focuses on the different stresses associated with heat stress and their impacts on crop production. Nano-management of crops under heat stress, including the application of biogenic nanofertilizers and nanopesticides, are discussed. The potential and limitations of these biogenic nano-agrochemicals are reviewed. Potential nanotoxicity problems need more investigation at the local, national, and global levels, as well as additional studies into biogenic nano-agrochemicals and their effects on soil, plant, and microbial properties and processes.","container-title":"Nanomaterials","DOI":"10.3390/nano14151253","ISSN":"2079-4991","issue":"15","journalAbbreviation":"Nanomaterials","language":"en","page":"1253","source":"DOI.org (Crossref)","title":"Biological Nano-Agrochemicals for Crop Production as an Emerging Way to Address Heat and Associated Stresses","volume":"14","author":[{"family":"Prokisch","given":"József"},{"family":"Ferroudj","given":"Aya"},{"family":"Labidi","given":"Safa"},{"family":"El-Ramady","given":"Hassan"},{"family":"Brevik","given":"Eric C."}],"issued":{"date-parts":[["2024",7,26]]}}}],"schema":"https://github.com/citation-style-language/schema/raw/master/csl-citation.json"} </w:instrText>
      </w:r>
      <w:r w:rsidR="00120A49">
        <w:rPr>
          <w:rFonts w:ascii="Cambria" w:hAnsi="Cambria"/>
          <w:sz w:val="24"/>
          <w:lang w:val="en-ID"/>
        </w:rPr>
        <w:fldChar w:fldCharType="separate"/>
      </w:r>
      <w:r w:rsidR="00120A49" w:rsidRPr="00120A49">
        <w:rPr>
          <w:rFonts w:ascii="Cambria" w:hAnsi="Cambria"/>
          <w:sz w:val="24"/>
          <w:lang w:val="en-ID"/>
        </w:rPr>
        <w:t>(Prokisch et al., 2024)</w:t>
      </w:r>
      <w:r w:rsidR="00120A49">
        <w:rPr>
          <w:rFonts w:ascii="Cambria" w:hAnsi="Cambria"/>
          <w:sz w:val="24"/>
          <w:lang w:val="en-ID"/>
        </w:rPr>
        <w:fldChar w:fldCharType="end"/>
      </w:r>
      <w:r w:rsidR="00120A49">
        <w:rPr>
          <w:rFonts w:ascii="Cambria" w:hAnsi="Cambria"/>
          <w:sz w:val="24"/>
          <w:lang w:val="en-ID"/>
        </w:rPr>
        <w:t xml:space="preserve">. </w:t>
      </w:r>
      <w:r w:rsidRPr="004A4EEE">
        <w:rPr>
          <w:rFonts w:ascii="Cambria" w:hAnsi="Cambria"/>
          <w:sz w:val="24"/>
          <w:lang w:val="en-ID"/>
        </w:rPr>
        <w:t xml:space="preserve">Previous studies have demonstrated that nano-based fertilizers significantly improve plant growth and yield components in several crops. </w:t>
      </w:r>
      <w:r w:rsidR="00D02988">
        <w:rPr>
          <w:rFonts w:ascii="Cambria" w:hAnsi="Cambria"/>
          <w:sz w:val="24"/>
          <w:lang w:val="en-ID"/>
        </w:rPr>
        <w:fldChar w:fldCharType="begin"/>
      </w:r>
      <w:r w:rsidR="00D02988">
        <w:rPr>
          <w:rFonts w:ascii="Cambria" w:hAnsi="Cambria"/>
          <w:sz w:val="24"/>
          <w:lang w:val="en-ID"/>
        </w:rPr>
        <w:instrText xml:space="preserve"> ADDIN ZOTERO_ITEM CSL_CITATION {"citationID":"STao0vwA","properties":{"unsorted":false,"formattedCitation":"(Widiatmanta et al., 2023)","plainCitation":"(Widiatmanta et al., 2023)","noteIndex":0},"citationItems":[{"id":375,"uris":["http://zotero.org/users/local/jSzQgGyj/items/6VP93BNT"],"itemData":{"id":375,"type":"article-journal","abstract":"Zucchini (Cucurbita pepo L.) is a member of the Cucurbitaceae group that is of interest to the public because it has high economic value. However, there are obstacles to cultivation, one way to overcome them is by using nano technology fertilizer and planting media. The aim of this research was to find out the interaction between doses of nanote chnology compound fertilizer and planting media on the growth and yield of zucchini plants (Cucurbita pepo L.). The research method used was a Factorial Randomized Block Design with two factors. First factor: concentration of compound fertilizer with nano technology (P) which consists of 4 levels, namely: P0: control (without application of nano technology fertilizer) P1: concentration of nano fertilizer 5 ml/L P2: concentration of nano fertilizer 10 ml/L P3: concentration of fertilizer nano 15 ml/L Second factor: the composition of the planting medium which consists of 3 levels, namely: M1: Husk charcoal: cocopeat: vermicompost (1:1:1) M2: Husk charcoal: cocopeat: vermicompost (1:1:2) M3: Husk charcoal: cocopeat: vermicompost (1:1:3) Variables observed were plant height (cm), stem diameter (cm), flowering time (DAT), fruit diameter (cm), fruit weight (grams) and fruit length (cm ). From the research results it can be concluded that there is a real interaction in the treatment of nano fertilizer and planting media. The best combination was seen in the application of 10 ml/L nano fertilizer and husk charcoal planting media: cocopeat : vermicompost (1:1:3) (P2M3), at a plant height of 18.96 cm, stem diameter of 1.169, fruit weight of 630 grams, fruit length 43.50 cm and fruit diameter 75.66 cm.","container-title":"VIABEL: Jurnal Ilmiah Ilmu-Ilmu Pertanian","DOI":"10.35457/viabel.v17i2.3124","ISSN":"2527-3345, 1978-5259","issue":"2","journalAbbreviation":"viabel","license":"https://creativecommons.org/licenses/by-sa/4.0","page":"91-97","source":"DOI.org (Crossref)","title":"Konsentrasi Foliar Spraying Pupuk Berteknologi Nano Dan Media Tanam Pada Pertumbuhan Dan Hasil Tanaman Zukini (cucurbita Pepo L.)","volume":"17","author":[{"family":"Widiatmanta","given":"Jeka"},{"family":"Wibowo","given":"Agung Setya"},{"family":"Serdani","given":"Army Dita"},{"family":"Puspitorini","given":"Palupi"},{"family":"Qoyim","given":"Zainul"}],"issued":{"date-parts":[["2023",11,27]]}}}],"schema":"https://github.com/citation-style-language/schema/raw/master/csl-citation.json"} </w:instrText>
      </w:r>
      <w:r w:rsidR="00D02988">
        <w:rPr>
          <w:rFonts w:ascii="Cambria" w:hAnsi="Cambria"/>
          <w:sz w:val="24"/>
          <w:lang w:val="en-ID"/>
        </w:rPr>
        <w:fldChar w:fldCharType="separate"/>
      </w:r>
      <w:r w:rsidR="00D02988" w:rsidRPr="00D02988">
        <w:rPr>
          <w:rFonts w:ascii="Cambria" w:hAnsi="Cambria"/>
          <w:sz w:val="24"/>
          <w:lang w:val="en-ID"/>
        </w:rPr>
        <w:t>Widiatmanta et al.</w:t>
      </w:r>
      <w:r w:rsidR="00D02988">
        <w:rPr>
          <w:rFonts w:ascii="Cambria" w:hAnsi="Cambria"/>
          <w:sz w:val="24"/>
          <w:lang w:val="en-ID"/>
        </w:rPr>
        <w:t xml:space="preserve"> (</w:t>
      </w:r>
      <w:r w:rsidR="00D02988" w:rsidRPr="00D02988">
        <w:rPr>
          <w:rFonts w:ascii="Cambria" w:hAnsi="Cambria"/>
          <w:sz w:val="24"/>
          <w:lang w:val="en-ID"/>
        </w:rPr>
        <w:t>2023)</w:t>
      </w:r>
      <w:r w:rsidR="00D02988">
        <w:rPr>
          <w:rFonts w:ascii="Cambria" w:hAnsi="Cambria"/>
          <w:sz w:val="24"/>
          <w:lang w:val="en-ID"/>
        </w:rPr>
        <w:fldChar w:fldCharType="end"/>
      </w:r>
      <w:r w:rsidR="00D02988">
        <w:rPr>
          <w:rFonts w:ascii="Cambria" w:hAnsi="Cambria"/>
          <w:sz w:val="24"/>
          <w:lang w:val="en-ID"/>
        </w:rPr>
        <w:t xml:space="preserve"> </w:t>
      </w:r>
      <w:r w:rsidRPr="004A4EEE">
        <w:rPr>
          <w:rFonts w:ascii="Cambria" w:hAnsi="Cambria"/>
          <w:sz w:val="24"/>
          <w:lang w:val="en-ID"/>
        </w:rPr>
        <w:t xml:space="preserve">reported that the application of 10 mL L⁻¹ nano fertilizer combined with appropriate planting media significantly increased plant height, stem diameter, fruit weight, and fruit dimensions in zucchini plants. Similarly, nano biofertilizers have been reported to improve nutrient uptake efficiency while reducing chemical fertilizer requirements by up to 40% </w:t>
      </w:r>
      <w:r w:rsidR="00456159">
        <w:rPr>
          <w:rFonts w:ascii="Cambria" w:hAnsi="Cambria"/>
          <w:sz w:val="24"/>
          <w:lang w:val="en-ID"/>
        </w:rPr>
        <w:fldChar w:fldCharType="begin"/>
      </w:r>
      <w:r w:rsidR="00456159">
        <w:rPr>
          <w:rFonts w:ascii="Cambria" w:hAnsi="Cambria"/>
          <w:sz w:val="24"/>
          <w:lang w:val="en-ID"/>
        </w:rPr>
        <w:instrText xml:space="preserve"> ADDIN ZOTERO_ITEM CSL_CITATION {"citationID":"4ouF1tfI","properties":{"unsorted":false,"formattedCitation":"(Oyediran et al., 2025)","plainCitation":"(Oyediran et al., 2025)","noteIndex":0},"citationItems":[{"id":377,"uris":["http://zotero.org/users/local/jSzQgGyj/items/LNQVWPZM"],"itemData":{"id":377,"type":"article-journal","abstract":"As sustainable agriculture gains momentum, nano-biofertilizers have emerged as a promising alternative to chemical fertilizers. These formulations combine beneficial microbes with nanotechnology to boost nutrient availability, improve plant nutrient uptake, and enhance soil health. This review examines their composition, mechanisms, and agricultural benefits. Nano-biofertilizers improve nutrient use efficiency, support plant growth, and help suppress soil-borne pathogens through the synergistic effects of microbes and nanoscale carriers. They also reduce nutrient losses via leaching and volatilization, lowering environmental pollution and greenhouse gas emissions. Furthermore, they promote microbial diversity and improve soil structure—key factors in soil fertility. Despite their advantages, challenges such as production costs, regulatory gaps, and limited field data hinder widespread use. Addressing these issues through coordinated research and supportive policies is essential. Ultimately, nano-biofertilizers represent a sustainable tool to enhance crop productivity and environmental health, with great potential for integration into organic and eco-friendly farming systems.","container-title":"Global Journal of Agricultural Research","DOI":"10.37745/gjar.2013/vol13n14771","ISSN":"20535805, 20535813","issue":"1","journalAbbreviation":"GJAR","page":"47-71","source":"DOI.org (Crossref)","title":"Nano-Biofertilizers Application as Sustainable Approach to Enhance Crop Productivity and Soil Health: A Review","title-short":"Nano-Biofertilizers Application as Sustainable Approach to Enhance Crop Productivity and Soil Health","volume":"13","author":[{"family":"Oyediran","given":"Oke Kingsley"},{"family":"Olagoke","given":"Ogunmola Oluranti"},{"family":"Abiodun","given":"Sodamade"}],"issued":{"date-parts":[["2025",1,26]]}}}],"schema":"https://github.com/citation-style-language/schema/raw/master/csl-citation.json"} </w:instrText>
      </w:r>
      <w:r w:rsidR="00456159">
        <w:rPr>
          <w:rFonts w:ascii="Cambria" w:hAnsi="Cambria"/>
          <w:sz w:val="24"/>
          <w:lang w:val="en-ID"/>
        </w:rPr>
        <w:fldChar w:fldCharType="separate"/>
      </w:r>
      <w:r w:rsidR="00456159" w:rsidRPr="00456159">
        <w:rPr>
          <w:rFonts w:ascii="Cambria" w:hAnsi="Cambria"/>
          <w:sz w:val="24"/>
          <w:lang w:val="en-ID"/>
        </w:rPr>
        <w:t>(Oyediran et al., 2025)</w:t>
      </w:r>
      <w:r w:rsidR="00456159">
        <w:rPr>
          <w:rFonts w:ascii="Cambria" w:hAnsi="Cambria"/>
          <w:sz w:val="24"/>
          <w:lang w:val="en-ID"/>
        </w:rPr>
        <w:fldChar w:fldCharType="end"/>
      </w:r>
      <w:r w:rsidR="00456159">
        <w:rPr>
          <w:rFonts w:ascii="Cambria" w:hAnsi="Cambria"/>
          <w:sz w:val="24"/>
          <w:lang w:val="en-ID"/>
        </w:rPr>
        <w:t>.</w:t>
      </w:r>
    </w:p>
    <w:p w14:paraId="1AB40D42" w14:textId="735BADE0" w:rsidR="001029AF" w:rsidRDefault="00010C6F" w:rsidP="001029AF">
      <w:pPr>
        <w:pStyle w:val="TEXTs"/>
        <w:spacing w:after="0"/>
        <w:ind w:left="426" w:right="-392" w:firstLine="283"/>
        <w:rPr>
          <w:rFonts w:ascii="Cambria" w:hAnsi="Cambria"/>
          <w:sz w:val="24"/>
          <w:lang w:val="en-ID"/>
        </w:rPr>
      </w:pPr>
      <w:r w:rsidRPr="004A4EEE">
        <w:rPr>
          <w:rFonts w:ascii="Cambria" w:hAnsi="Cambria"/>
          <w:sz w:val="24"/>
          <w:lang w:val="en-ID"/>
        </w:rPr>
        <w:t>Balanced fertilization using NPK fertilizer also plays a fundamental role in soybean production. Nitrogen contributes to chlorophyll synthesis and vegetative growth, phosphorus is involved in energy transfer and reproductive development, whereas potassium regulates enzymatic activities and photosynthate translocation (</w:t>
      </w:r>
      <w:r w:rsidRPr="00041B40">
        <w:rPr>
          <w:rFonts w:ascii="Cambria" w:hAnsi="Cambria"/>
          <w:sz w:val="24"/>
          <w:lang w:val="en-ID"/>
        </w:rPr>
        <w:t>Naibaho, 2020</w:t>
      </w:r>
      <w:r w:rsidRPr="004A4EEE">
        <w:rPr>
          <w:rFonts w:ascii="Cambria" w:hAnsi="Cambria"/>
          <w:sz w:val="24"/>
          <w:lang w:val="en-ID"/>
        </w:rPr>
        <w:t>). The synergistic interaction among these nutrients substantially affects soybean growth and yield formation. Previous findings demonstrated that the application of 9 g plant⁻¹ NPK fertilizer significantly increased soybean fruit weight compared to untreated plants (</w:t>
      </w:r>
      <w:r w:rsidRPr="00041B40">
        <w:rPr>
          <w:rFonts w:ascii="Cambria" w:hAnsi="Cambria"/>
          <w:sz w:val="24"/>
          <w:lang w:val="en-ID"/>
        </w:rPr>
        <w:t>Mardiah, 2023).</w:t>
      </w:r>
      <w:r w:rsidRPr="004A4EEE">
        <w:rPr>
          <w:rFonts w:ascii="Cambria" w:hAnsi="Cambria"/>
          <w:sz w:val="24"/>
          <w:lang w:val="en-ID"/>
        </w:rPr>
        <w:t xml:space="preserve"> Moreover, the combination of biofertilizers and NPK fertilizers has been shown to improve soybean productivity through enhanced nutrient utilization efficiency </w:t>
      </w:r>
      <w:r w:rsidR="00817FEB">
        <w:rPr>
          <w:rFonts w:ascii="Cambria" w:hAnsi="Cambria"/>
          <w:sz w:val="24"/>
          <w:lang w:val="en-ID"/>
        </w:rPr>
        <w:fldChar w:fldCharType="begin"/>
      </w:r>
      <w:r w:rsidR="00817FEB">
        <w:rPr>
          <w:rFonts w:ascii="Cambria" w:hAnsi="Cambria"/>
          <w:sz w:val="24"/>
          <w:lang w:val="en-ID"/>
        </w:rPr>
        <w:instrText xml:space="preserve"> ADDIN ZOTERO_ITEM CSL_CITATION {"citationID":"sYX7S8NP","properties":{"unsorted":false,"formattedCitation":"(Jp et al., 2025)","plainCitation":"(Jp et al., 2025)","noteIndex":0},"citationItems":[{"id":381,"uris":["http://zotero.org/users/local/jSzQgGyj/items/9AUFVKHH"],"itemData":{"id":381,"type":"article-journal","container-title":"International Journal of Research in Agronomy","DOI":"10.33545/2618060X.2025.v8.i9e.3779","ISSN":"2618060X, 26180618","issue":"9","journalAbbreviation":"Int. J. Res. Agron.","page":"366-368","source":"DOI.org (Crossref)","title":"Effect of soil and foliar application of nano fertilizers on growth and yield of soybean (Glycine max L. Merrill)","volume":"8","author":[{"family":"Jp","given":"Patil"},{"family":"Su","given":"Pawar"},{"family":"Ph","given":"Vaidya"},{"family":"Vb","given":"Awasarmal"},{"family":"Iab","given":"Mirza"},{"family":"Ar","given":"Hendre"},{"family":"S","given":"Chanda"}],"issued":{"date-parts":[["2025",9,1]]}}}],"schema":"https://github.com/citation-style-language/schema/raw/master/csl-citation.json"} </w:instrText>
      </w:r>
      <w:r w:rsidR="00817FEB">
        <w:rPr>
          <w:rFonts w:ascii="Cambria" w:hAnsi="Cambria"/>
          <w:sz w:val="24"/>
          <w:lang w:val="en-ID"/>
        </w:rPr>
        <w:fldChar w:fldCharType="separate"/>
      </w:r>
      <w:r w:rsidR="00817FEB" w:rsidRPr="00817FEB">
        <w:rPr>
          <w:rFonts w:ascii="Cambria" w:hAnsi="Cambria"/>
          <w:sz w:val="24"/>
          <w:lang w:val="en-ID"/>
        </w:rPr>
        <w:t>(Jp et al., 2025)</w:t>
      </w:r>
      <w:r w:rsidR="00817FEB">
        <w:rPr>
          <w:rFonts w:ascii="Cambria" w:hAnsi="Cambria"/>
          <w:sz w:val="24"/>
          <w:lang w:val="en-ID"/>
        </w:rPr>
        <w:fldChar w:fldCharType="end"/>
      </w:r>
      <w:r w:rsidR="00817FEB">
        <w:rPr>
          <w:rFonts w:ascii="Cambria" w:hAnsi="Cambria"/>
          <w:sz w:val="24"/>
          <w:lang w:val="en-ID"/>
        </w:rPr>
        <w:t>.</w:t>
      </w:r>
    </w:p>
    <w:p w14:paraId="379CAF5D" w14:textId="448AC4FE" w:rsidR="00010C6F" w:rsidRDefault="00010C6F" w:rsidP="001029AF">
      <w:pPr>
        <w:pStyle w:val="TEXTs"/>
        <w:spacing w:after="0"/>
        <w:ind w:left="426" w:right="-392" w:firstLine="283"/>
        <w:rPr>
          <w:rFonts w:ascii="Cambria" w:hAnsi="Cambria"/>
          <w:sz w:val="24"/>
          <w:lang w:val="en-ID"/>
        </w:rPr>
      </w:pPr>
      <w:r w:rsidRPr="004A4EEE">
        <w:rPr>
          <w:rFonts w:ascii="Cambria" w:hAnsi="Cambria"/>
          <w:sz w:val="24"/>
          <w:lang w:val="en-ID"/>
        </w:rPr>
        <w:t>Although numerous studies have investigated the effects of conventional biofertilizers and NPK fertilizers on soybean cultivation, research evaluating the interaction between bionanofertilizer concentration and NPK fertilizer dosage remains limited, particularly for the Detap-1 soybean variety cultivated under the agroecological conditions of Blitar Regency. Therefore, this study was conducted to determine the optimal combination of bionanofertilizer concentration and NPK fertilizer dosage for improving the growth and yield of Detap-1 soybean variety. The findings are expected to contribute to the development of efficient, environmentally sustainable, and integrated nutrient management strategies for soybean cultivation.</w:t>
      </w:r>
    </w:p>
    <w:p w14:paraId="17163DC5" w14:textId="77777777" w:rsidR="000F15B7" w:rsidRDefault="000F15B7" w:rsidP="001029AF">
      <w:pPr>
        <w:pStyle w:val="TEXTs"/>
        <w:spacing w:after="0"/>
        <w:ind w:left="426" w:right="-392" w:firstLine="283"/>
        <w:rPr>
          <w:rFonts w:ascii="Cambria" w:hAnsi="Cambria"/>
          <w:sz w:val="24"/>
          <w:lang w:val="en-ID"/>
        </w:rPr>
      </w:pPr>
    </w:p>
    <w:p w14:paraId="4CCA2CA0" w14:textId="77777777" w:rsidR="000F15B7" w:rsidRPr="004A4EEE" w:rsidRDefault="000F15B7" w:rsidP="001029AF">
      <w:pPr>
        <w:pStyle w:val="TEXTs"/>
        <w:spacing w:after="0"/>
        <w:ind w:left="426" w:right="-392" w:firstLine="283"/>
        <w:rPr>
          <w:rFonts w:ascii="Cambria" w:hAnsi="Cambria"/>
          <w:sz w:val="24"/>
          <w:lang w:val="en-ID"/>
        </w:rPr>
      </w:pPr>
    </w:p>
    <w:p w14:paraId="11005E80" w14:textId="77777777" w:rsidR="00010C6F" w:rsidRDefault="00010C6F" w:rsidP="00010C6F">
      <w:pPr>
        <w:pStyle w:val="TEXTs"/>
        <w:spacing w:after="0" w:line="240" w:lineRule="auto"/>
        <w:ind w:firstLine="0"/>
        <w:rPr>
          <w:rFonts w:ascii="Cambria" w:hAnsi="Cambria"/>
          <w:bCs/>
          <w:caps/>
          <w:kern w:val="2"/>
          <w:sz w:val="24"/>
          <w:lang w:val="id-ID"/>
        </w:rPr>
      </w:pPr>
    </w:p>
    <w:p w14:paraId="56361490" w14:textId="77777777" w:rsidR="00010C6F" w:rsidRPr="00B7712B" w:rsidRDefault="00010C6F" w:rsidP="00010C6F">
      <w:pPr>
        <w:pStyle w:val="TEXTs"/>
        <w:tabs>
          <w:tab w:val="left" w:pos="450"/>
        </w:tabs>
        <w:spacing w:after="0" w:line="240" w:lineRule="auto"/>
        <w:ind w:firstLine="0"/>
        <w:rPr>
          <w:rFonts w:ascii="Cambria" w:hAnsi="Cambria"/>
          <w:b/>
          <w:bCs/>
          <w:caps/>
          <w:kern w:val="2"/>
          <w:sz w:val="24"/>
        </w:rPr>
      </w:pPr>
      <w:r>
        <w:rPr>
          <w:rFonts w:ascii="Cambria" w:hAnsi="Cambria"/>
          <w:b/>
          <w:bCs/>
          <w:kern w:val="2"/>
          <w:sz w:val="24"/>
        </w:rPr>
        <w:lastRenderedPageBreak/>
        <w:t>2.</w:t>
      </w:r>
      <w:r>
        <w:rPr>
          <w:rFonts w:ascii="Cambria" w:hAnsi="Cambria"/>
          <w:b/>
          <w:bCs/>
          <w:kern w:val="2"/>
          <w:sz w:val="24"/>
          <w:lang w:val="id-ID"/>
        </w:rPr>
        <w:tab/>
      </w:r>
      <w:r>
        <w:rPr>
          <w:rFonts w:ascii="Cambria" w:hAnsi="Cambria"/>
          <w:b/>
          <w:bCs/>
          <w:kern w:val="2"/>
          <w:sz w:val="24"/>
        </w:rPr>
        <w:t>Methods</w:t>
      </w:r>
      <w:r>
        <w:rPr>
          <w:rFonts w:ascii="Cambria" w:hAnsi="Cambria"/>
          <w:sz w:val="24"/>
        </w:rPr>
        <w:tab/>
      </w:r>
    </w:p>
    <w:p w14:paraId="73BFBDC3" w14:textId="77777777" w:rsidR="00010C6F" w:rsidRDefault="00010C6F" w:rsidP="00010C6F">
      <w:pPr>
        <w:tabs>
          <w:tab w:val="left" w:pos="450"/>
        </w:tabs>
        <w:spacing w:before="120" w:after="0"/>
        <w:rPr>
          <w:rFonts w:ascii="Cambria" w:hAnsi="Cambria" w:cstheme="majorBidi"/>
          <w:i/>
          <w:iCs/>
          <w:sz w:val="24"/>
        </w:rPr>
      </w:pPr>
      <w:r>
        <w:rPr>
          <w:rFonts w:ascii="Cambria" w:hAnsi="Cambria"/>
          <w:i/>
          <w:sz w:val="24"/>
          <w:lang w:val="en-US"/>
        </w:rPr>
        <w:t>2</w:t>
      </w:r>
      <w:r>
        <w:rPr>
          <w:rFonts w:ascii="Cambria" w:hAnsi="Cambria"/>
          <w:i/>
          <w:sz w:val="24"/>
        </w:rPr>
        <w:t>.</w:t>
      </w:r>
      <w:r>
        <w:rPr>
          <w:rFonts w:ascii="Cambria" w:hAnsi="Cambria"/>
          <w:i/>
          <w:sz w:val="24"/>
          <w:lang w:val="en-US"/>
        </w:rPr>
        <w:t>1</w:t>
      </w:r>
      <w:r>
        <w:rPr>
          <w:rFonts w:ascii="Cambria" w:hAnsi="Cambria"/>
          <w:i/>
          <w:sz w:val="24"/>
        </w:rPr>
        <w:t xml:space="preserve">. </w:t>
      </w:r>
      <w:r>
        <w:rPr>
          <w:rFonts w:ascii="Cambria" w:hAnsi="Cambria"/>
          <w:i/>
          <w:sz w:val="24"/>
        </w:rPr>
        <w:tab/>
      </w:r>
      <w:r>
        <w:rPr>
          <w:rFonts w:ascii="Cambria" w:hAnsi="Cambria"/>
          <w:i/>
          <w:sz w:val="24"/>
          <w:lang w:eastAsia="id-ID"/>
        </w:rPr>
        <w:t>Study Site and Experimental Design</w:t>
      </w:r>
    </w:p>
    <w:p w14:paraId="1DDFDFCC" w14:textId="77777777" w:rsidR="00010C6F" w:rsidRDefault="00010C6F" w:rsidP="00010C6F">
      <w:pPr>
        <w:tabs>
          <w:tab w:val="left" w:pos="450"/>
        </w:tabs>
        <w:spacing w:after="0"/>
        <w:rPr>
          <w:rFonts w:ascii="Cambria" w:hAnsi="Cambria"/>
          <w:sz w:val="24"/>
        </w:rPr>
      </w:pPr>
      <w:r>
        <w:rPr>
          <w:rFonts w:ascii="Cambria" w:hAnsi="Cambria"/>
          <w:sz w:val="24"/>
          <w:lang w:eastAsia="id-ID"/>
        </w:rPr>
        <w:tab/>
      </w:r>
      <w:r w:rsidRPr="00B2270E">
        <w:rPr>
          <w:rFonts w:ascii="Cambria" w:hAnsi="Cambria"/>
          <w:sz w:val="24"/>
          <w:lang w:eastAsia="id-ID"/>
        </w:rPr>
        <w:t>This study was conducted from June to September 2025 in Rejowinangun Village, Kademangan District, Blitar Regency, East Java, Indonesia. The experimental site is located at an altitude of approximately 167 m above sea level with geographical coordinates of 8.139840674968669° S and 112.22092916510492° E. Blitar Regency is characterized by a tropical climate with two distinct seasons, namely the dry season occurring from June to October and the rainy season from November to May. The average temperature ranges from 22°C to 29°C in lowland areas and approximately 18°C in mountainous regions.</w:t>
      </w:r>
      <w:r>
        <w:rPr>
          <w:rFonts w:ascii="Cambria" w:hAnsi="Cambria"/>
          <w:sz w:val="24"/>
        </w:rPr>
        <w:t xml:space="preserve">Formulae should be centered and numbered. </w:t>
      </w:r>
    </w:p>
    <w:p w14:paraId="309955A0" w14:textId="63B9906F" w:rsidR="00010C6F" w:rsidRPr="004E6B69" w:rsidRDefault="00010C6F" w:rsidP="00010C6F">
      <w:pPr>
        <w:tabs>
          <w:tab w:val="left" w:pos="450"/>
        </w:tabs>
        <w:spacing w:after="0"/>
        <w:rPr>
          <w:rFonts w:ascii="Cambria" w:hAnsi="Cambria"/>
          <w:color w:val="000000" w:themeColor="text1"/>
          <w:sz w:val="24"/>
        </w:rPr>
      </w:pPr>
      <w:r>
        <w:rPr>
          <w:rFonts w:ascii="Cambria" w:hAnsi="Cambria"/>
          <w:sz w:val="24"/>
        </w:rPr>
        <w:tab/>
      </w:r>
      <w:r w:rsidR="00100AFF" w:rsidRPr="00100AFF">
        <w:rPr>
          <w:rFonts w:ascii="Cambria" w:hAnsi="Cambria"/>
          <w:sz w:val="24"/>
        </w:rPr>
        <w:t xml:space="preserve">The experiment was conducted using a factorial randomized block design (RBD) </w:t>
      </w:r>
      <w:r w:rsidRPr="005E36C7">
        <w:rPr>
          <w:rFonts w:ascii="Cambria" w:hAnsi="Cambria"/>
          <w:sz w:val="24"/>
        </w:rPr>
        <w:t xml:space="preserve">consisting of two factors with three replications. The first factor was bionanofertilizer concentration comprising B1 </w:t>
      </w:r>
      <w:r w:rsidRPr="008B05AB">
        <w:rPr>
          <w:rFonts w:ascii="Cambria" w:hAnsi="Cambria"/>
          <w:color w:val="000000" w:themeColor="text1"/>
          <w:sz w:val="24"/>
        </w:rPr>
        <w:t>(</w:t>
      </w:r>
      <w:r w:rsidR="00BF7C00" w:rsidRPr="00233E7E">
        <w:rPr>
          <w:rFonts w:ascii="Cambria" w:hAnsi="Cambria"/>
          <w:sz w:val="24"/>
        </w:rPr>
        <w:t>liquid organic fertilizer</w:t>
      </w:r>
      <w:r w:rsidR="00BF7C00">
        <w:rPr>
          <w:rFonts w:ascii="Cambria" w:hAnsi="Cambria"/>
          <w:sz w:val="24"/>
        </w:rPr>
        <w:t xml:space="preserve"> at 6 ml per liter</w:t>
      </w:r>
      <w:r w:rsidRPr="008B05AB">
        <w:rPr>
          <w:rFonts w:ascii="Cambria" w:hAnsi="Cambria"/>
          <w:color w:val="000000" w:themeColor="text1"/>
          <w:sz w:val="24"/>
        </w:rPr>
        <w:t>), B2 (</w:t>
      </w:r>
      <w:r w:rsidR="00BF7C00" w:rsidRPr="00233E7E">
        <w:rPr>
          <w:rFonts w:ascii="Cambria" w:hAnsi="Cambria"/>
          <w:sz w:val="24"/>
        </w:rPr>
        <w:t>liquid organic fertilizer</w:t>
      </w:r>
      <w:r w:rsidR="00BF7C00">
        <w:rPr>
          <w:rFonts w:ascii="Cambria" w:hAnsi="Cambria"/>
          <w:sz w:val="24"/>
        </w:rPr>
        <w:t xml:space="preserve"> at 9 ml per liter</w:t>
      </w:r>
      <w:r w:rsidR="00BF7C00" w:rsidRPr="008B05AB">
        <w:rPr>
          <w:rFonts w:ascii="Cambria" w:hAnsi="Cambria"/>
          <w:color w:val="000000" w:themeColor="text1"/>
          <w:sz w:val="24"/>
        </w:rPr>
        <w:t>)</w:t>
      </w:r>
      <w:r w:rsidR="00337148">
        <w:rPr>
          <w:rFonts w:ascii="Cambria" w:hAnsi="Cambria"/>
          <w:color w:val="000000" w:themeColor="text1"/>
          <w:sz w:val="24"/>
        </w:rPr>
        <w:t>,</w:t>
      </w:r>
      <w:r w:rsidRPr="008B05AB">
        <w:rPr>
          <w:rFonts w:ascii="Cambria" w:hAnsi="Cambria"/>
          <w:color w:val="000000" w:themeColor="text1"/>
          <w:sz w:val="24"/>
        </w:rPr>
        <w:t xml:space="preserve"> and B3 (</w:t>
      </w:r>
      <w:r w:rsidR="00F93D36" w:rsidRPr="00233E7E">
        <w:rPr>
          <w:rFonts w:ascii="Cambria" w:hAnsi="Cambria"/>
          <w:sz w:val="24"/>
        </w:rPr>
        <w:t>liquid organic fertilizer</w:t>
      </w:r>
      <w:r w:rsidR="00F93D36">
        <w:rPr>
          <w:rFonts w:ascii="Cambria" w:hAnsi="Cambria"/>
          <w:sz w:val="24"/>
        </w:rPr>
        <w:t xml:space="preserve"> at 12 ml per liter</w:t>
      </w:r>
      <w:r w:rsidR="00F93D36" w:rsidRPr="008B05AB">
        <w:rPr>
          <w:rFonts w:ascii="Cambria" w:hAnsi="Cambria"/>
          <w:color w:val="000000" w:themeColor="text1"/>
          <w:sz w:val="24"/>
        </w:rPr>
        <w:t>)</w:t>
      </w:r>
      <w:r w:rsidRPr="008B05AB">
        <w:rPr>
          <w:rFonts w:ascii="Cambria" w:hAnsi="Cambria"/>
          <w:color w:val="000000" w:themeColor="text1"/>
          <w:sz w:val="24"/>
        </w:rPr>
        <w:t>. The second factor was NPK fertilizer dosage comprising S1 (</w:t>
      </w:r>
      <w:r w:rsidR="002C54AB" w:rsidRPr="00233E7E">
        <w:rPr>
          <w:rFonts w:ascii="Cambria" w:hAnsi="Cambria"/>
          <w:sz w:val="24"/>
        </w:rPr>
        <w:t>NPK fertilizer</w:t>
      </w:r>
      <w:r w:rsidR="002C54AB" w:rsidRPr="008B05AB">
        <w:rPr>
          <w:rFonts w:ascii="Cambria" w:hAnsi="Cambria"/>
          <w:color w:val="000000" w:themeColor="text1"/>
          <w:sz w:val="24"/>
        </w:rPr>
        <w:t xml:space="preserve"> </w:t>
      </w:r>
      <w:r w:rsidR="007A3546">
        <w:rPr>
          <w:rFonts w:ascii="Cambria" w:hAnsi="Cambria"/>
          <w:color w:val="000000" w:themeColor="text1"/>
          <w:sz w:val="24"/>
        </w:rPr>
        <w:t xml:space="preserve">at 6 g per plant), </w:t>
      </w:r>
      <w:r w:rsidRPr="008B05AB">
        <w:rPr>
          <w:rFonts w:ascii="Cambria" w:hAnsi="Cambria"/>
          <w:color w:val="000000" w:themeColor="text1"/>
          <w:sz w:val="24"/>
        </w:rPr>
        <w:t>S2 (</w:t>
      </w:r>
      <w:r w:rsidR="004E6B69" w:rsidRPr="00233E7E">
        <w:rPr>
          <w:rFonts w:ascii="Cambria" w:hAnsi="Cambria"/>
          <w:sz w:val="24"/>
        </w:rPr>
        <w:t>NPK fertilizer</w:t>
      </w:r>
      <w:r w:rsidR="004E6B69" w:rsidRPr="008B05AB">
        <w:rPr>
          <w:rFonts w:ascii="Cambria" w:hAnsi="Cambria"/>
          <w:color w:val="000000" w:themeColor="text1"/>
          <w:sz w:val="24"/>
        </w:rPr>
        <w:t xml:space="preserve"> </w:t>
      </w:r>
      <w:r w:rsidR="004E6B69">
        <w:rPr>
          <w:rFonts w:ascii="Cambria" w:hAnsi="Cambria"/>
          <w:color w:val="000000" w:themeColor="text1"/>
          <w:sz w:val="24"/>
        </w:rPr>
        <w:t xml:space="preserve">at 9 </w:t>
      </w:r>
      <w:r w:rsidR="00EC4CB3">
        <w:rPr>
          <w:rFonts w:ascii="Cambria" w:hAnsi="Cambria"/>
          <w:color w:val="000000" w:themeColor="text1"/>
          <w:sz w:val="24"/>
        </w:rPr>
        <w:t>g</w:t>
      </w:r>
      <w:r w:rsidR="004E6B69">
        <w:rPr>
          <w:rFonts w:ascii="Cambria" w:hAnsi="Cambria"/>
          <w:color w:val="000000" w:themeColor="text1"/>
          <w:sz w:val="24"/>
        </w:rPr>
        <w:t xml:space="preserve"> per plant</w:t>
      </w:r>
      <w:r w:rsidRPr="008B05AB">
        <w:rPr>
          <w:rFonts w:ascii="Cambria" w:hAnsi="Cambria"/>
          <w:color w:val="000000" w:themeColor="text1"/>
          <w:sz w:val="24"/>
        </w:rPr>
        <w:t>), and S3 (</w:t>
      </w:r>
      <w:r w:rsidR="00EC4CB3" w:rsidRPr="00233E7E">
        <w:rPr>
          <w:rFonts w:ascii="Cambria" w:hAnsi="Cambria"/>
          <w:sz w:val="24"/>
        </w:rPr>
        <w:t>NPK fertilizer</w:t>
      </w:r>
      <w:r w:rsidR="00EC4CB3" w:rsidRPr="008B05AB">
        <w:rPr>
          <w:rFonts w:ascii="Cambria" w:hAnsi="Cambria"/>
          <w:color w:val="000000" w:themeColor="text1"/>
          <w:sz w:val="24"/>
        </w:rPr>
        <w:t xml:space="preserve"> </w:t>
      </w:r>
      <w:r w:rsidR="00EC4CB3">
        <w:rPr>
          <w:rFonts w:ascii="Cambria" w:hAnsi="Cambria"/>
          <w:color w:val="000000" w:themeColor="text1"/>
          <w:sz w:val="24"/>
        </w:rPr>
        <w:t xml:space="preserve">at </w:t>
      </w:r>
      <w:r w:rsidR="000B22BD">
        <w:rPr>
          <w:rFonts w:ascii="Cambria" w:hAnsi="Cambria"/>
          <w:color w:val="000000" w:themeColor="text1"/>
          <w:sz w:val="24"/>
        </w:rPr>
        <w:t>12</w:t>
      </w:r>
      <w:r w:rsidR="00EC4CB3">
        <w:rPr>
          <w:rFonts w:ascii="Cambria" w:hAnsi="Cambria"/>
          <w:color w:val="000000" w:themeColor="text1"/>
          <w:sz w:val="24"/>
        </w:rPr>
        <w:t xml:space="preserve"> g per plant</w:t>
      </w:r>
      <w:r w:rsidR="00EC4CB3">
        <w:rPr>
          <w:rFonts w:ascii="Cambria" w:hAnsi="Cambria"/>
          <w:sz w:val="24"/>
        </w:rPr>
        <w:t xml:space="preserve">). </w:t>
      </w:r>
      <w:r w:rsidRPr="005E36C7">
        <w:rPr>
          <w:rFonts w:ascii="Cambria" w:hAnsi="Cambria"/>
          <w:sz w:val="24"/>
        </w:rPr>
        <w:t>The factorial treatment arrangement was developed based on previous studies reporting the effectiveness of nano-based fertilizers and NPK fertilizer applications in improving soybean productivity (Patil, 2025; Widiatmanta et al., 2023). Each treatment combination was replicated three times, resulting in twenty-seven experimental units comprising fifty-four soybean plants</w:t>
      </w:r>
      <w:r>
        <w:rPr>
          <w:rFonts w:ascii="Cambria" w:hAnsi="Cambria"/>
          <w:sz w:val="24"/>
        </w:rPr>
        <w:t>.</w:t>
      </w:r>
    </w:p>
    <w:p w14:paraId="4AFE4699" w14:textId="77777777" w:rsidR="00CC082C" w:rsidRDefault="00CC082C" w:rsidP="00010C6F">
      <w:pPr>
        <w:tabs>
          <w:tab w:val="left" w:pos="450"/>
        </w:tabs>
        <w:spacing w:after="0"/>
        <w:rPr>
          <w:rFonts w:ascii="Cambria" w:hAnsi="Cambria"/>
          <w:sz w:val="24"/>
        </w:rPr>
      </w:pPr>
    </w:p>
    <w:p w14:paraId="54527F09" w14:textId="4827F0A3" w:rsidR="00C83094" w:rsidRDefault="00C83094" w:rsidP="00C83094">
      <w:pPr>
        <w:tabs>
          <w:tab w:val="left" w:pos="450"/>
        </w:tabs>
        <w:snapToGrid w:val="0"/>
        <w:spacing w:before="120" w:after="0"/>
        <w:rPr>
          <w:rFonts w:ascii="Cambria" w:hAnsi="Cambria"/>
          <w:i/>
          <w:sz w:val="24"/>
          <w:lang w:val="en-US"/>
        </w:rPr>
      </w:pPr>
      <w:r>
        <w:rPr>
          <w:rFonts w:ascii="Cambria" w:hAnsi="Cambria"/>
          <w:i/>
          <w:sz w:val="24"/>
          <w:lang w:val="en-US"/>
        </w:rPr>
        <w:t>2.2. Plant Material and Treatment Applications</w:t>
      </w:r>
    </w:p>
    <w:p w14:paraId="0EA322B0" w14:textId="77777777" w:rsidR="00F82243" w:rsidRDefault="0099643F" w:rsidP="00F82243">
      <w:pPr>
        <w:pStyle w:val="Text"/>
        <w:tabs>
          <w:tab w:val="left" w:pos="426"/>
        </w:tabs>
        <w:spacing w:after="120" w:line="240" w:lineRule="auto"/>
        <w:ind w:firstLine="0"/>
        <w:rPr>
          <w:rFonts w:ascii="Cambria" w:hAnsi="Cambria"/>
          <w:sz w:val="24"/>
        </w:rPr>
      </w:pPr>
      <w:r>
        <w:rPr>
          <w:rFonts w:ascii="Cambria" w:hAnsi="Cambria"/>
          <w:iCs/>
          <w:sz w:val="24"/>
          <w:lang w:val="en-GB"/>
        </w:rPr>
        <w:tab/>
      </w:r>
      <w:r w:rsidR="00C83094" w:rsidRPr="005B1505">
        <w:rPr>
          <w:rFonts w:ascii="Cambria" w:hAnsi="Cambria"/>
          <w:iCs/>
          <w:sz w:val="24"/>
          <w:lang w:val="en-GB"/>
        </w:rPr>
        <w:t>The plant material used in this experiment was Detap-1 soybean (</w:t>
      </w:r>
      <w:r w:rsidR="00C83094" w:rsidRPr="005B1505">
        <w:rPr>
          <w:rFonts w:ascii="Cambria" w:hAnsi="Cambria"/>
          <w:i/>
          <w:iCs/>
          <w:sz w:val="24"/>
          <w:lang w:val="en-GB"/>
        </w:rPr>
        <w:t>Glycine max</w:t>
      </w:r>
      <w:r w:rsidR="00C83094" w:rsidRPr="005B1505">
        <w:rPr>
          <w:rFonts w:ascii="Cambria" w:hAnsi="Cambria"/>
          <w:iCs/>
          <w:sz w:val="24"/>
          <w:lang w:val="en-GB"/>
        </w:rPr>
        <w:t xml:space="preserve"> (L.) Merrill) seeds cultivated using blotong soil and rice husk charcoal</w:t>
      </w:r>
      <w:r>
        <w:rPr>
          <w:rFonts w:ascii="Cambria" w:hAnsi="Cambria"/>
          <w:iCs/>
          <w:sz w:val="24"/>
          <w:lang w:val="en-GB"/>
        </w:rPr>
        <w:t xml:space="preserve">. </w:t>
      </w:r>
      <w:r w:rsidR="00C83094" w:rsidRPr="005B1505">
        <w:rPr>
          <w:rFonts w:ascii="Cambria" w:hAnsi="Cambria"/>
          <w:iCs/>
          <w:sz w:val="24"/>
          <w:lang w:val="en-GB"/>
        </w:rPr>
        <w:t>Bionanofertilizer was applied according to the designated treatment concentrations, whereas NPK fertilizer was administered based on the predetermined dosage treatments. Nano-based fertilizers have been reported to improve nutrient use efficiency through controlled nutrient release mechanisms and enhanced nutrient</w:t>
      </w:r>
      <w:r w:rsidR="00893E73">
        <w:rPr>
          <w:rFonts w:ascii="Cambria" w:hAnsi="Cambria"/>
          <w:iCs/>
          <w:sz w:val="24"/>
          <w:lang w:val="en-GB"/>
        </w:rPr>
        <w:t xml:space="preserve"> </w:t>
      </w:r>
      <w:r w:rsidR="00893E73">
        <w:rPr>
          <w:rFonts w:ascii="Cambria" w:hAnsi="Cambria"/>
          <w:iCs/>
          <w:sz w:val="24"/>
          <w:lang w:val="en-GB"/>
        </w:rPr>
        <w:fldChar w:fldCharType="begin"/>
      </w:r>
      <w:r w:rsidR="00893E73">
        <w:rPr>
          <w:rFonts w:ascii="Cambria" w:hAnsi="Cambria"/>
          <w:iCs/>
          <w:sz w:val="24"/>
          <w:lang w:val="en-GB"/>
        </w:rPr>
        <w:instrText xml:space="preserve"> ADDIN ZOTERO_ITEM CSL_CITATION {"citationID":"C3bjIwIH","properties":{"unsorted":false,"formattedCitation":"(Abdelkader et al., 2024; Oyediran et al., 2025)","plainCitation":"(Abdelkader et al., 2024; Oyediran et al., 2025)","noteIndex":0},"citationItems":[{"id":373,"uris":["http://zotero.org/users/local/jSzQgGyj/items/VZD2QPWX"],"itemData":{"id":373,"type":"article-journal","abstract":"Vegetables accumulate considerable amounts of nitrates that enter the human body through nutrition, causing severe problems. This study aims to determine celery plants’ response to replacing mineral nitrogen fertilizers with bio-nanoparticles. Three different treatments of nano bio-nitrogen fertilizer (20, 30, and 40 ppm) in addition to traditional nitrogen (NH4NO3) treatment (100 kg N/acre) were applied on two celery cultivars (Balady and Utah Tall 52–75). Plant growth parameters, vitamin C, carotenoids, nitrate accumulation, macro-nutrient uptakes, and antioxidant activities were determined at the vegetative marketing stage. Our findings reveal a significant positive impact of replacing conventional nitrogen fertilizers with bio-nano-synthesized forms. Notably, applying bio-nanoparticles improved celery yield efficiency, ranging from 5.1 to 5.8 tons per acre, suggesting a viable alternative to traditional fertilization methods. Furthermore, transitioning from mineral to organic fertilizers in nanoparticle form reduced nitrate accumulation in fresh celery crops, decreasing nitrate levels from 342.5 ppm to as low as 100 ppm. This environmentally conscious approach offers a sustainable solution to mitigate chemical residues and enhance celery’s flavor, nutritional value, and health benefits. Specifically, our results demonstrate alleviated nitrate contents in fresh celery leaves after applying bio-nano-fertilizer. Nitrate levels in treated plants decreased by up to 70.0% compared to traditional fertilization methods. This highlights the potential of organic nano-fertilizers to address concerns related to nitrate accumulation, thereby promoting safer and healthier vegetable consumption. By advocating for organic nano-fertilizers, we propose a promising strategy to optimize celery fertilizing management, ensuring sustainable farming and consumer well-being.","container-title":"Horticulturae","DOI":"10.3390/horticulturae10080789","ISSN":"2311-7524","issue":"8","journalAbbreviation":"Horticulturae","language":"en","page":"789","source":"DOI.org (Crossref)","title":"Biogenic Nano-Fertilizers as a Sustainable Approach to Alleviate Nitrate Accumulation and Enrich Quality Traits of Vegetable Crops","volume":"10","author":[{"family":"Abdelkader","given":"Mostafa"},{"family":"Zargar","given":"Meisam"},{"family":"Bayat","given":"Maryam"},{"family":"Pakina","given":"Elena"},{"family":"Shehata","given":"Ahmed S. A."},{"family":"Suliman","given":"Ahmed A."}],"issued":{"date-parts":[["2024",7,26]]}}},{"id":377,"uris":["http://zotero.org/users/local/jSzQgGyj/items/LNQVWPZM"],"itemData":{"id":377,"type":"article-journal","abstract":"As sustainable agriculture gains momentum, nano-biofertilizers have emerged as a promising alternative to chemical fertilizers. These formulations combine beneficial microbes with nanotechnology to boost nutrient availability, improve plant nutrient uptake, and enhance soil health. This review examines their composition, mechanisms, and agricultural benefits. Nano-biofertilizers improve nutrient use efficiency, support plant growth, and help suppress soil-borne pathogens through the synergistic effects of microbes and nanoscale carriers. They also reduce nutrient losses via leaching and volatilization, lowering environmental pollution and greenhouse gas emissions. Furthermore, they promote microbial diversity and improve soil structure—key factors in soil fertility. Despite their advantages, challenges such as production costs, regulatory gaps, and limited field data hinder widespread use. Addressing these issues through coordinated research and supportive policies is essential. Ultimately, nano-biofertilizers represent a sustainable tool to enhance crop productivity and environmental health, with great potential for integration into organic and eco-friendly farming systems.","container-title":"Global Journal of Agricultural Research","DOI":"10.37745/gjar.2013/vol13n14771","ISSN":"20535805, 20535813","issue":"1","journalAbbreviation":"GJAR","page":"47-71","source":"DOI.org (Crossref)","title":"Nano-Biofertilizers Application as Sustainable Approach to Enhance Crop Productivity and Soil Health: A Review","title-short":"Nano-Biofertilizers Application as Sustainable Approach to Enhance Crop Productivity and Soil Health","volume":"13","author":[{"family":"Oyediran","given":"Oke Kingsley"},{"family":"Olagoke","given":"Ogunmola Oluranti"},{"family":"Abiodun","given":"Sodamade"}],"issued":{"date-parts":[["2025",1,26]]}}}],"schema":"https://github.com/citation-style-language/schema/raw/master/csl-citation.json"} </w:instrText>
      </w:r>
      <w:r w:rsidR="00893E73">
        <w:rPr>
          <w:rFonts w:ascii="Cambria" w:hAnsi="Cambria"/>
          <w:iCs/>
          <w:sz w:val="24"/>
          <w:lang w:val="en-GB"/>
        </w:rPr>
        <w:fldChar w:fldCharType="separate"/>
      </w:r>
      <w:r w:rsidR="00893E73" w:rsidRPr="00893E73">
        <w:rPr>
          <w:rFonts w:ascii="Cambria" w:hAnsi="Cambria"/>
          <w:sz w:val="24"/>
          <w:lang w:val="en-GB"/>
        </w:rPr>
        <w:t>(Abdelkader et al., 2024; Oyediran et al., 2025)</w:t>
      </w:r>
      <w:r w:rsidR="00893E73">
        <w:rPr>
          <w:rFonts w:ascii="Cambria" w:hAnsi="Cambria"/>
          <w:iCs/>
          <w:sz w:val="24"/>
          <w:lang w:val="en-GB"/>
        </w:rPr>
        <w:fldChar w:fldCharType="end"/>
      </w:r>
      <w:r w:rsidR="00893E73">
        <w:rPr>
          <w:rFonts w:ascii="Cambria" w:hAnsi="Cambria"/>
          <w:iCs/>
          <w:sz w:val="24"/>
          <w:lang w:val="en-GB"/>
        </w:rPr>
        <w:t>.</w:t>
      </w:r>
      <w:r w:rsidR="00C83094" w:rsidRPr="005B1505">
        <w:rPr>
          <w:rFonts w:ascii="Cambria" w:hAnsi="Cambria"/>
          <w:iCs/>
          <w:sz w:val="24"/>
          <w:lang w:val="en-GB"/>
        </w:rPr>
        <w:t xml:space="preserve"> </w:t>
      </w:r>
      <w:r>
        <w:rPr>
          <w:rFonts w:ascii="Cambria" w:hAnsi="Cambria"/>
          <w:iCs/>
          <w:sz w:val="24"/>
          <w:lang w:val="en-GB"/>
        </w:rPr>
        <w:t>Balanced</w:t>
      </w:r>
      <w:r w:rsidR="00C83094">
        <w:rPr>
          <w:rFonts w:ascii="Cambria" w:hAnsi="Cambria"/>
          <w:iCs/>
          <w:sz w:val="24"/>
          <w:lang w:val="en-GB"/>
        </w:rPr>
        <w:t xml:space="preserve"> NPK fertilization plyas an important role in supporting vegetative and generative development in soybean plants </w:t>
      </w:r>
      <w:r w:rsidR="00FE790A">
        <w:rPr>
          <w:rFonts w:ascii="Cambria" w:hAnsi="Cambria"/>
          <w:iCs/>
          <w:sz w:val="24"/>
          <w:lang w:val="en-GB"/>
        </w:rPr>
        <w:fldChar w:fldCharType="begin"/>
      </w:r>
      <w:r w:rsidR="00FE790A">
        <w:rPr>
          <w:rFonts w:ascii="Cambria" w:hAnsi="Cambria"/>
          <w:iCs/>
          <w:sz w:val="24"/>
          <w:lang w:val="en-GB"/>
        </w:rPr>
        <w:instrText xml:space="preserve"> ADDIN ZOTERO_ITEM CSL_CITATION {"citationID":"gXVv3SSZ","properties":{"unsorted":false,"formattedCitation":"(Hao et al., 2023)","plainCitation":"(Hao et al., 2023)","noteIndex":0},"citationItems":[{"id":383,"uris":["http://zotero.org/users/local/jSzQgGyj/items/H2P8UEME"],"itemData":{"id":383,"type":"article-journal","container-title":"The Crop Journal","DOI":"10.1016/j.cj.2023.06.003","ISSN":"22145141","issue":"4","journalAbbreviation":"The Crop Journal","language":"en","page":"1034-1047","source":"DOI.org (Crossref)","title":"Phosphorylation regulation of nitrogen, phosphorus, and potassium uptake systems in plants","volume":"11","author":[{"family":"Hao","given":"Dongli"},{"family":"Li","given":"Xiaohui"},{"family":"Kong","given":"Weiyi"},{"family":"Chen","given":"Rongrong"},{"family":"Liu","given":"Jianxiu"},{"family":"Guo","given":"Hailin"},{"family":"Zhou","given":"Jinyan"}],"issued":{"date-parts":[["2023",8]]}}}],"schema":"https://github.com/citation-style-language/schema/raw/master/csl-citation.json"} </w:instrText>
      </w:r>
      <w:r w:rsidR="00FE790A">
        <w:rPr>
          <w:rFonts w:ascii="Cambria" w:hAnsi="Cambria"/>
          <w:iCs/>
          <w:sz w:val="24"/>
          <w:lang w:val="en-GB"/>
        </w:rPr>
        <w:fldChar w:fldCharType="separate"/>
      </w:r>
      <w:r w:rsidR="00FE790A" w:rsidRPr="00FE790A">
        <w:rPr>
          <w:rFonts w:ascii="Cambria" w:hAnsi="Cambria"/>
          <w:sz w:val="24"/>
          <w:lang w:val="en-GB"/>
        </w:rPr>
        <w:t>(Hao et al., 2023)</w:t>
      </w:r>
      <w:r w:rsidR="00FE790A">
        <w:rPr>
          <w:rFonts w:ascii="Cambria" w:hAnsi="Cambria"/>
          <w:iCs/>
          <w:sz w:val="24"/>
          <w:lang w:val="en-GB"/>
        </w:rPr>
        <w:fldChar w:fldCharType="end"/>
      </w:r>
      <w:r w:rsidR="00FE790A">
        <w:rPr>
          <w:rFonts w:ascii="Cambria" w:hAnsi="Cambria"/>
          <w:iCs/>
          <w:sz w:val="24"/>
          <w:lang w:val="en-GB"/>
        </w:rPr>
        <w:t>.</w:t>
      </w:r>
      <w:r>
        <w:rPr>
          <w:rFonts w:ascii="Cambria" w:hAnsi="Cambria"/>
          <w:sz w:val="24"/>
        </w:rPr>
        <w:t xml:space="preserve"> </w:t>
      </w:r>
    </w:p>
    <w:p w14:paraId="104E0B1E" w14:textId="3F0D92D3" w:rsidR="00F82243" w:rsidRPr="000C4BBF" w:rsidRDefault="00F82243" w:rsidP="0099643F">
      <w:pPr>
        <w:pStyle w:val="Text"/>
        <w:tabs>
          <w:tab w:val="left" w:pos="426"/>
        </w:tabs>
        <w:spacing w:after="120" w:line="240" w:lineRule="auto"/>
        <w:ind w:firstLine="0"/>
        <w:rPr>
          <w:rFonts w:ascii="Cambria" w:hAnsi="Cambria"/>
          <w:sz w:val="24"/>
        </w:rPr>
      </w:pPr>
      <w:r>
        <w:rPr>
          <w:rFonts w:ascii="Cambria" w:hAnsi="Cambria"/>
          <w:sz w:val="24"/>
        </w:rPr>
        <w:tab/>
      </w:r>
      <w:r w:rsidR="0099643F">
        <w:rPr>
          <w:rFonts w:ascii="Cambria" w:hAnsi="Cambria"/>
          <w:sz w:val="24"/>
        </w:rPr>
        <w:t xml:space="preserve">Therfore, </w:t>
      </w:r>
      <w:r w:rsidR="0099643F" w:rsidRPr="005B1505">
        <w:rPr>
          <w:rFonts w:ascii="Cambria" w:hAnsi="Cambria"/>
          <w:iCs/>
          <w:sz w:val="24"/>
          <w:lang w:val="en-GB"/>
        </w:rPr>
        <w:t>the combination of both fertilization</w:t>
      </w:r>
      <w:r w:rsidR="0099643F">
        <w:rPr>
          <w:rFonts w:ascii="Cambria" w:hAnsi="Cambria"/>
          <w:iCs/>
          <w:sz w:val="24"/>
          <w:lang w:val="en-GB"/>
        </w:rPr>
        <w:t xml:space="preserve"> </w:t>
      </w:r>
      <w:r w:rsidR="0099643F" w:rsidRPr="005B1505">
        <w:rPr>
          <w:rFonts w:ascii="Cambria" w:hAnsi="Cambria"/>
          <w:iCs/>
          <w:sz w:val="24"/>
          <w:lang w:val="en-GB"/>
        </w:rPr>
        <w:t>technologies was evaluated in the present study to determine their effects on soybean growth and yield.</w:t>
      </w:r>
    </w:p>
    <w:p w14:paraId="36037415" w14:textId="77777777" w:rsidR="000A4C3A" w:rsidRDefault="0099643F" w:rsidP="000A4C3A">
      <w:pPr>
        <w:tabs>
          <w:tab w:val="left" w:pos="450"/>
        </w:tabs>
        <w:snapToGrid w:val="0"/>
        <w:spacing w:before="120" w:after="0"/>
        <w:rPr>
          <w:rFonts w:ascii="Cambria" w:hAnsi="Cambria"/>
          <w:i/>
          <w:sz w:val="24"/>
          <w:lang w:val="en-US"/>
        </w:rPr>
      </w:pPr>
      <w:r>
        <w:rPr>
          <w:rFonts w:ascii="Cambria" w:hAnsi="Cambria"/>
          <w:i/>
          <w:sz w:val="24"/>
          <w:lang w:val="en-US"/>
        </w:rPr>
        <w:t>2.3. Growth and Yield Paramaters</w:t>
      </w:r>
    </w:p>
    <w:p w14:paraId="14D5AC5A" w14:textId="3D891768" w:rsidR="0099643F" w:rsidRPr="0099643F" w:rsidRDefault="000A4C3A" w:rsidP="000A4C3A">
      <w:pPr>
        <w:tabs>
          <w:tab w:val="left" w:pos="450"/>
        </w:tabs>
        <w:snapToGrid w:val="0"/>
        <w:spacing w:before="120" w:after="0"/>
        <w:rPr>
          <w:rFonts w:ascii="Cambria" w:hAnsi="Cambria"/>
          <w:i/>
          <w:sz w:val="24"/>
          <w:lang w:val="en-US"/>
        </w:rPr>
      </w:pPr>
      <w:r>
        <w:rPr>
          <w:rFonts w:ascii="Cambria" w:hAnsi="Cambria"/>
          <w:i/>
          <w:sz w:val="24"/>
          <w:lang w:val="en-US"/>
        </w:rPr>
        <w:tab/>
      </w:r>
      <w:r w:rsidR="0099643F" w:rsidRPr="008F0A08">
        <w:rPr>
          <w:rFonts w:ascii="Cambria" w:hAnsi="Cambria"/>
          <w:sz w:val="24"/>
        </w:rPr>
        <w:t xml:space="preserve">Growth observations consisted of plant height and stem diameter measured periodically from one to five weeks after planting (WAP). Plant height is commonly used as an indicator of vegetative development and nutrient utilization efficiency, whereas stem diameter reflects plant vigor and the effectiveness of nutrient translocation processes </w:t>
      </w:r>
      <w:r w:rsidR="004F503F">
        <w:rPr>
          <w:rFonts w:ascii="Cambria" w:hAnsi="Cambria"/>
          <w:sz w:val="24"/>
        </w:rPr>
        <w:fldChar w:fldCharType="begin"/>
      </w:r>
      <w:r w:rsidR="004F503F">
        <w:rPr>
          <w:rFonts w:ascii="Cambria" w:hAnsi="Cambria"/>
          <w:sz w:val="24"/>
        </w:rPr>
        <w:instrText xml:space="preserve"> ADDIN ZOTERO_ITEM CSL_CITATION {"citationID":"6MlsGULm","properties":{"unsorted":false,"formattedCitation":"(Naibaho &amp; Barus, n.d.)","plainCitation":"(Naibaho &amp; Barus, n.d.)","noteIndex":0},"citationItems":[{"id":388,"uris":["http://zotero.org/users/local/jSzQgGyj/items/428BFNZE"],"itemData":{"id":388,"type":"article-journal","abstract":"Influence of mixing media and dosage NPK (16:16:16) to cocoa (Theobroma cacao L.) in a nursery. Design of the experiment was randomized block design arranged in factorial with two factors. The first factor was planting media, 100% Subsoil Ultisol + 0% EOPB Compost, 75% Subsoil Ultisol + 25% EOPB Compost, 50% Subsoil Ultisol + 50% EOPB Compost, 25% Subsoil Ultisol + 75% EOPB Compost, 0% Subsoil Ultisol + 100% EOPB Compost.. The second factor is NPK Fertilizer (16:16:16), 0 g/polybag, 4 g/polybag, 8 g/polybag, 12 g/polybag. The parameters observed includes plant height (cm), number leafs (sheet), diameter of stem (mm), total of broad leaf (cm2), fresh and dry weight of crown (g) fresh and dry weight of root (g). The result showed that planting media influential significantly on leaf number, total of broad leaf, fresh and dryweight of crown, fresh and of root. Present of manure in fluential significantly on plant height, number of leaves, diameter of stem, total of broad leaf, fresh and dryweight of crown and freshweight of root. Interaction between planting media and present of fertilizer influential significantly to diameter of stem 6, 8, 10, 12 and 14 weeks after planted and total of broad leaf.","language":"id","source":"Zotero","title":"Pengaruh Campuran Media Tumbuh Dan Dosis Pupuk Npk (16:16:16) Terhadap Pertumbuhan Kakao (theobroma Cacao L) Di Pembibitan","author":[{"family":"Naibaho","given":"Darwin C"},{"family":"Barus","given":"Asil"}]}}],"schema":"https://github.com/citation-style-language/schema/raw/master/csl-citation.json"} </w:instrText>
      </w:r>
      <w:r w:rsidR="004F503F">
        <w:rPr>
          <w:rFonts w:ascii="Cambria" w:hAnsi="Cambria"/>
          <w:sz w:val="24"/>
        </w:rPr>
        <w:fldChar w:fldCharType="separate"/>
      </w:r>
      <w:r w:rsidR="004F503F" w:rsidRPr="004F503F">
        <w:rPr>
          <w:rFonts w:ascii="Cambria" w:hAnsi="Cambria"/>
          <w:sz w:val="24"/>
        </w:rPr>
        <w:t xml:space="preserve">(Naibaho &amp; Barus, </w:t>
      </w:r>
      <w:r w:rsidR="004F503F">
        <w:rPr>
          <w:rFonts w:ascii="Cambria" w:hAnsi="Cambria"/>
          <w:sz w:val="24"/>
        </w:rPr>
        <w:t xml:space="preserve">2020). </w:t>
      </w:r>
      <w:r w:rsidR="004F503F">
        <w:rPr>
          <w:rFonts w:ascii="Cambria" w:hAnsi="Cambria"/>
          <w:sz w:val="24"/>
        </w:rPr>
        <w:fldChar w:fldCharType="end"/>
      </w:r>
      <w:r w:rsidR="0099643F" w:rsidRPr="008F0A08">
        <w:rPr>
          <w:rFonts w:ascii="Cambria" w:hAnsi="Cambria"/>
          <w:sz w:val="24"/>
        </w:rPr>
        <w:t xml:space="preserve">Yield parameters observed at harvest included the number of pods, pod weight, number of seeds, seed weight, and 100-seed weight. These parameters are widely employed for evaluating soybean productivity because they directly represent reproductive performance and seed development </w:t>
      </w:r>
      <w:r w:rsidR="00F3152D">
        <w:rPr>
          <w:rFonts w:ascii="Cambria" w:hAnsi="Cambria"/>
          <w:sz w:val="24"/>
        </w:rPr>
        <w:fldChar w:fldCharType="begin"/>
      </w:r>
      <w:r w:rsidR="00F3152D">
        <w:rPr>
          <w:rFonts w:ascii="Cambria" w:hAnsi="Cambria"/>
          <w:sz w:val="24"/>
        </w:rPr>
        <w:instrText xml:space="preserve"> ADDIN ZOTERO_ITEM CSL_CITATION {"citationID":"PYjFuwFd","properties":{"unsorted":false,"formattedCitation":"(Hapsoh et al., 2019; Yusuf et al., 2024)","plainCitation":"(Hapsoh et al., 2019; Yusuf et al., 2024)","noteIndex":0},"citationItems":[{"id":386,"uris":["http://zotero.org/users/local/jSzQgGyj/items/GN2U5WQM"],"itemData":{"id":386,"type":"article-journal","abstract":"The productivity of soybeans (Glycine max (L.) Merril) in Indonesia is still low, and therefore it is necessary to increase productivity through management of soil fertility such as fertilizer application. This study aimed to determine the effect of single compost, NPK, and their interactions on soybean productivity. The study was conducted in the experimental station of the Faculty of Agriculture, Universitas Riau from May to September 2017. The experiment used a factorial design arranged in a randomized block design. The first factor consisted of: without compost, oil palm empty fruit bunch compost (TKKS) and rice straw compost. The second factor consisted of: without NPK fertilizer, NPK dose 125 kg ha-1 and NPK dose 250 kg ha-1. Data analyzed statistically and further evaluation using Duncan’s multiple range test. The single treatment of compost increased the nutrient content of leaf N 3.1%, leaf K 24%, percentage of filled pods 3.45%, number of seeds each plant 14%, seed weight each plant 15% and weight of 100 seeds 3.20%. The single treatment of NPK fertilizer also increased leaf N by 4.67%, leaf P by 9% and leaf K by 4%, number of filled pods as 27%, percentage of filed pods with 5%, number of seeds each plant 29%, seed weight each plant 27%, production each m2 by 26% and weight 100 seeds by 7%. Interactions between treatments increased the levels of N, P, and K and percentage of filled pods. This research provides information for farmers to utilize compost in order to reduce the use of inorganic fertilizers.Keywords: filled pods, nutrient leaf content, leaf N level, leaf P level, seed weight","container-title":"Jurnal Agronomi Indonesia (Indonesian Journal of Agronomy)","DOI":"10.24831/jai.v47i2.25794","ISSN":"2337-3652, 2085-2916","issue":"2","journalAbbreviation":"J Agron Indonesia","page":"149-155","source":"DOI.org (Crossref)","title":"Pengaruh Pemberian Kompos dan Pupuk NPK terhadap Produktivitas Kedelai (Glycine max (L.) Merril)","volume":"47","author":[{"family":"Hapsoh","given":""},{"family":"Wardati","given":""},{"family":"Hairunisa","given":"Dan"}],"issued":{"date-parts":[["2019",8,28]]}}},{"id":385,"uris":["http://zotero.org/users/local/jSzQgGyj/items/2DUEGDV2"],"itemData":{"id":385,"type":"article-journal","language":"id","source":"Zotero","title":"Pengaruh Konsentrasi Pupuk Organik Cair Terhadap Pertumbuhan dan Hasil Dua Varietas Kedelai (Glycine max (L.) Merr.)","author":[{"family":"Yusuf","given":"Muhamad"},{"family":"Rafli","given":"Muhammad"},{"family":"Nurdin","given":"Muhammad Yusuf"},{"family":"Fridayanti","given":"Nelly"}],"issued":{"date-parts":[["2024"]]}}}],"schema":"https://github.com/citation-style-language/schema/raw/master/csl-citation.json"} </w:instrText>
      </w:r>
      <w:r w:rsidR="00F3152D">
        <w:rPr>
          <w:rFonts w:ascii="Cambria" w:hAnsi="Cambria"/>
          <w:sz w:val="24"/>
        </w:rPr>
        <w:fldChar w:fldCharType="separate"/>
      </w:r>
      <w:r w:rsidR="00F3152D" w:rsidRPr="00F3152D">
        <w:rPr>
          <w:rFonts w:ascii="Cambria" w:hAnsi="Cambria"/>
          <w:sz w:val="24"/>
        </w:rPr>
        <w:t>(Hapsoh et al., 2019; Yusuf et al., 2024)</w:t>
      </w:r>
      <w:r w:rsidR="00F3152D">
        <w:rPr>
          <w:rFonts w:ascii="Cambria" w:hAnsi="Cambria"/>
          <w:sz w:val="24"/>
        </w:rPr>
        <w:fldChar w:fldCharType="end"/>
      </w:r>
      <w:r w:rsidR="00F3152D">
        <w:rPr>
          <w:rFonts w:ascii="Cambria" w:hAnsi="Cambria"/>
          <w:sz w:val="24"/>
        </w:rPr>
        <w:t>.</w:t>
      </w:r>
    </w:p>
    <w:p w14:paraId="79BBF3BF" w14:textId="77777777" w:rsidR="00B0333E" w:rsidRDefault="0099643F" w:rsidP="00B0333E">
      <w:pPr>
        <w:tabs>
          <w:tab w:val="left" w:pos="450"/>
        </w:tabs>
        <w:snapToGrid w:val="0"/>
        <w:spacing w:before="120" w:after="0"/>
        <w:rPr>
          <w:rFonts w:ascii="Cambria" w:hAnsi="Cambria"/>
          <w:i/>
          <w:sz w:val="24"/>
          <w:lang w:val="en-US"/>
        </w:rPr>
      </w:pPr>
      <w:r>
        <w:rPr>
          <w:rFonts w:ascii="Cambria" w:hAnsi="Cambria"/>
          <w:i/>
          <w:sz w:val="24"/>
          <w:lang w:val="en-US"/>
        </w:rPr>
        <w:t>2.4. Statistical Analysi</w:t>
      </w:r>
      <w:r w:rsidR="00AE3E49">
        <w:rPr>
          <w:rFonts w:ascii="Cambria" w:hAnsi="Cambria"/>
          <w:i/>
          <w:sz w:val="24"/>
          <w:lang w:val="en-US"/>
        </w:rPr>
        <w:t>s</w:t>
      </w:r>
    </w:p>
    <w:p w14:paraId="63997186" w14:textId="231F102B" w:rsidR="0099643F" w:rsidRPr="00AE3E49" w:rsidRDefault="0099643F" w:rsidP="008E7810">
      <w:pPr>
        <w:tabs>
          <w:tab w:val="left" w:pos="450"/>
        </w:tabs>
        <w:snapToGrid w:val="0"/>
        <w:spacing w:before="120" w:after="0"/>
        <w:ind w:left="426"/>
        <w:rPr>
          <w:rFonts w:ascii="Cambria" w:hAnsi="Cambria"/>
          <w:i/>
          <w:sz w:val="24"/>
          <w:lang w:val="en-US"/>
        </w:rPr>
      </w:pPr>
      <w:r>
        <w:rPr>
          <w:rFonts w:ascii="Cambria" w:hAnsi="Cambria"/>
          <w:iCs/>
          <w:sz w:val="24"/>
        </w:rPr>
        <w:t>D</w:t>
      </w:r>
      <w:r w:rsidRPr="00D17776">
        <w:rPr>
          <w:rFonts w:ascii="Cambria" w:hAnsi="Cambria"/>
          <w:iCs/>
          <w:sz w:val="24"/>
        </w:rPr>
        <w:t xml:space="preserve">ata obtained from all observed variables were subjected to analysis of variance (ANOVA) at the 5% significance level to determine the effects of bionanofertilizer concentration, NPK fertilizer dosage, and their interaction on soybean growth and yield parameters. Significant differences among treatments were further analyzed using </w:t>
      </w:r>
      <w:r w:rsidRPr="00D17776">
        <w:rPr>
          <w:rFonts w:ascii="Cambria" w:hAnsi="Cambria"/>
          <w:iCs/>
          <w:sz w:val="24"/>
        </w:rPr>
        <w:lastRenderedPageBreak/>
        <w:t>Duncan's Multiple Range Test (DMRT) at the 5% significance level. Statistical analyses were performed to identify the optimum treatment combination for improving the growth and productivity of Detap-1 soybean (</w:t>
      </w:r>
      <w:r w:rsidRPr="00D17776">
        <w:rPr>
          <w:rFonts w:ascii="Cambria" w:hAnsi="Cambria"/>
          <w:i/>
          <w:iCs/>
          <w:sz w:val="24"/>
        </w:rPr>
        <w:t>Glycine max</w:t>
      </w:r>
      <w:r w:rsidRPr="00D17776">
        <w:rPr>
          <w:rFonts w:ascii="Cambria" w:hAnsi="Cambria"/>
          <w:iCs/>
          <w:sz w:val="24"/>
        </w:rPr>
        <w:t xml:space="preserve"> (L.) Merrill) variety</w:t>
      </w:r>
      <w:r>
        <w:rPr>
          <w:rFonts w:ascii="Cambria" w:hAnsi="Cambria"/>
          <w:iCs/>
          <w:sz w:val="24"/>
        </w:rPr>
        <w:t>.</w:t>
      </w:r>
      <w:r>
        <w:rPr>
          <w:rFonts w:ascii="Cambria" w:hAnsi="Cambria"/>
          <w:iCs/>
          <w:sz w:val="24"/>
        </w:rPr>
        <w:tab/>
      </w:r>
    </w:p>
    <w:p w14:paraId="480F0078" w14:textId="77777777" w:rsidR="00B0333E" w:rsidRDefault="00B0333E" w:rsidP="00B0333E">
      <w:pPr>
        <w:tabs>
          <w:tab w:val="left" w:pos="450"/>
        </w:tabs>
        <w:spacing w:after="0"/>
        <w:rPr>
          <w:rFonts w:ascii="Cambria" w:hAnsi="Cambria"/>
          <w:b/>
          <w:bCs/>
          <w:kern w:val="2"/>
          <w:sz w:val="24"/>
          <w:lang w:val="en-US"/>
        </w:rPr>
      </w:pPr>
    </w:p>
    <w:p w14:paraId="19FAF35B" w14:textId="77777777" w:rsidR="008E7810" w:rsidRDefault="004930D7" w:rsidP="008E7810">
      <w:pPr>
        <w:tabs>
          <w:tab w:val="left" w:pos="450"/>
        </w:tabs>
        <w:spacing w:after="0"/>
        <w:ind w:left="426"/>
        <w:rPr>
          <w:rFonts w:ascii="Cambria" w:hAnsi="Cambria"/>
          <w:b/>
          <w:bCs/>
          <w:iCs/>
          <w:sz w:val="24"/>
          <w:lang w:val="en-US"/>
        </w:rPr>
      </w:pPr>
      <w:r>
        <w:rPr>
          <w:rFonts w:ascii="Cambria" w:hAnsi="Cambria"/>
          <w:b/>
          <w:bCs/>
          <w:kern w:val="2"/>
          <w:sz w:val="24"/>
          <w:lang w:val="en-US"/>
        </w:rPr>
        <w:t>3</w:t>
      </w:r>
      <w:r>
        <w:rPr>
          <w:rFonts w:ascii="Cambria" w:hAnsi="Cambria"/>
          <w:b/>
          <w:bCs/>
          <w:kern w:val="2"/>
          <w:sz w:val="24"/>
        </w:rPr>
        <w:t>.</w:t>
      </w:r>
      <w:r>
        <w:rPr>
          <w:rFonts w:ascii="Cambria" w:hAnsi="Cambria"/>
          <w:b/>
          <w:bCs/>
          <w:kern w:val="2"/>
          <w:sz w:val="24"/>
        </w:rPr>
        <w:tab/>
      </w:r>
      <w:r>
        <w:rPr>
          <w:rFonts w:ascii="Cambria" w:hAnsi="Cambria"/>
          <w:b/>
          <w:bCs/>
          <w:iCs/>
          <w:sz w:val="24"/>
          <w:lang w:val="en-US"/>
        </w:rPr>
        <w:t>R</w:t>
      </w:r>
      <w:r>
        <w:rPr>
          <w:rFonts w:ascii="Cambria" w:hAnsi="Cambria"/>
          <w:b/>
          <w:bCs/>
          <w:iCs/>
          <w:sz w:val="24"/>
          <w:lang w:val="id-ID"/>
        </w:rPr>
        <w:t xml:space="preserve">esults </w:t>
      </w:r>
      <w:r>
        <w:rPr>
          <w:rFonts w:ascii="Cambria" w:hAnsi="Cambria"/>
          <w:b/>
          <w:bCs/>
          <w:iCs/>
          <w:sz w:val="24"/>
          <w:lang w:val="en-US"/>
        </w:rPr>
        <w:t>and Discussion</w:t>
      </w:r>
    </w:p>
    <w:p w14:paraId="56257416" w14:textId="77777777" w:rsidR="008E7810" w:rsidRDefault="008E7810" w:rsidP="008E7810">
      <w:pPr>
        <w:tabs>
          <w:tab w:val="left" w:pos="450"/>
        </w:tabs>
        <w:spacing w:after="0"/>
        <w:ind w:left="426"/>
        <w:rPr>
          <w:rFonts w:ascii="Cambria" w:hAnsi="Cambria"/>
          <w:b/>
          <w:bCs/>
          <w:iCs/>
          <w:sz w:val="24"/>
          <w:lang w:val="en-US"/>
        </w:rPr>
      </w:pPr>
    </w:p>
    <w:p w14:paraId="148FEE24" w14:textId="77777777" w:rsidR="008E7810" w:rsidRDefault="004930D7" w:rsidP="008E7810">
      <w:pPr>
        <w:tabs>
          <w:tab w:val="left" w:pos="450"/>
        </w:tabs>
        <w:spacing w:after="0"/>
        <w:ind w:left="426"/>
        <w:rPr>
          <w:rFonts w:ascii="Cambria" w:hAnsi="Cambria"/>
          <w:i/>
          <w:sz w:val="24"/>
        </w:rPr>
      </w:pPr>
      <w:r>
        <w:rPr>
          <w:rFonts w:ascii="Cambria" w:hAnsi="Cambria"/>
          <w:i/>
          <w:sz w:val="24"/>
          <w:lang w:val="en-US"/>
        </w:rPr>
        <w:t>3</w:t>
      </w:r>
      <w:r>
        <w:rPr>
          <w:rFonts w:ascii="Cambria" w:hAnsi="Cambria"/>
          <w:i/>
          <w:sz w:val="24"/>
        </w:rPr>
        <w:t>.</w:t>
      </w:r>
      <w:r>
        <w:rPr>
          <w:rFonts w:ascii="Cambria" w:hAnsi="Cambria"/>
          <w:i/>
          <w:sz w:val="24"/>
          <w:lang w:val="en-US"/>
        </w:rPr>
        <w:t>1</w:t>
      </w:r>
      <w:r>
        <w:rPr>
          <w:rFonts w:ascii="Cambria" w:hAnsi="Cambria"/>
          <w:i/>
          <w:sz w:val="24"/>
        </w:rPr>
        <w:t>. Effect of Bionanofertilizer Concentration and NPK Fertilizer Dosage on Soybean Plant Heigh</w:t>
      </w:r>
    </w:p>
    <w:p w14:paraId="7ECF261A" w14:textId="77777777" w:rsidR="008E7810" w:rsidRDefault="008E7810" w:rsidP="008E7810">
      <w:pPr>
        <w:tabs>
          <w:tab w:val="left" w:pos="450"/>
        </w:tabs>
        <w:spacing w:after="0"/>
        <w:ind w:left="426"/>
        <w:rPr>
          <w:rFonts w:ascii="Cambria" w:hAnsi="Cambria"/>
          <w:i/>
          <w:sz w:val="24"/>
        </w:rPr>
      </w:pPr>
    </w:p>
    <w:p w14:paraId="7F5A9E36" w14:textId="77777777" w:rsidR="008E7810" w:rsidRDefault="008E7810" w:rsidP="008E7810">
      <w:pPr>
        <w:tabs>
          <w:tab w:val="left" w:pos="450"/>
        </w:tabs>
        <w:spacing w:after="0"/>
        <w:ind w:left="426"/>
        <w:rPr>
          <w:rFonts w:ascii="Cambria" w:hAnsi="Cambria"/>
          <w:b/>
          <w:bCs/>
          <w:iCs/>
          <w:sz w:val="24"/>
          <w:lang w:val="en-US"/>
        </w:rPr>
      </w:pPr>
      <w:r>
        <w:rPr>
          <w:rFonts w:ascii="Cambria" w:hAnsi="Cambria"/>
          <w:i/>
          <w:sz w:val="24"/>
        </w:rPr>
        <w:tab/>
      </w:r>
      <w:r>
        <w:rPr>
          <w:rFonts w:ascii="Cambria" w:hAnsi="Cambria"/>
          <w:i/>
          <w:sz w:val="24"/>
        </w:rPr>
        <w:tab/>
      </w:r>
      <w:r w:rsidR="004930D7">
        <w:rPr>
          <w:rFonts w:ascii="Cambria" w:hAnsi="Cambria"/>
          <w:iCs/>
          <w:sz w:val="24"/>
        </w:rPr>
        <w:t>T</w:t>
      </w:r>
      <w:r w:rsidR="004930D7" w:rsidRPr="004571F4">
        <w:rPr>
          <w:rFonts w:ascii="Cambria" w:hAnsi="Cambria"/>
          <w:iCs/>
          <w:sz w:val="24"/>
        </w:rPr>
        <w:t>he analysis of variance (ANOVA) at the 5% significance level revealed a significant interaction between bionanofertilizer concentration and NPK fertilizer dosage on soybean plant height throughout the observation period, from one to five weeks after planting (WAP). Duncan's Multiple Range Test (DMRT) further demonstrated that the treatment combination of 9 mL L⁻¹ bionanofertilizer and 9 g plant⁻¹ NPK fertilizer (B2S2) consistently produced superior plant height compared with the remaining treatment combinations. The superiority of this treatment became increasingly evident during the later stages of vegetative growth, indicating that the interaction between nano-based biofertilizer and balanced NPK fertilization substantially influenced nutrient utilization efficiency during soybean development.</w:t>
      </w:r>
    </w:p>
    <w:p w14:paraId="592B7D1F" w14:textId="77777777" w:rsidR="008E7810" w:rsidRDefault="008E7810" w:rsidP="008E7810">
      <w:pPr>
        <w:tabs>
          <w:tab w:val="left" w:pos="450"/>
        </w:tabs>
        <w:spacing w:after="0"/>
        <w:ind w:left="426"/>
        <w:rPr>
          <w:rFonts w:ascii="Cambria" w:hAnsi="Cambria"/>
          <w:b/>
          <w:bCs/>
          <w:iCs/>
          <w:sz w:val="24"/>
          <w:lang w:val="en-US"/>
        </w:rPr>
      </w:pPr>
    </w:p>
    <w:p w14:paraId="65F2FF6D" w14:textId="527477F9" w:rsidR="004930D7" w:rsidRPr="008E7810" w:rsidRDefault="004930D7" w:rsidP="008E7810">
      <w:pPr>
        <w:tabs>
          <w:tab w:val="left" w:pos="450"/>
        </w:tabs>
        <w:spacing w:after="0"/>
        <w:ind w:left="426"/>
        <w:rPr>
          <w:rFonts w:ascii="Cambria" w:hAnsi="Cambria"/>
          <w:b/>
          <w:bCs/>
          <w:iCs/>
          <w:sz w:val="24"/>
          <w:lang w:val="en-US"/>
        </w:rPr>
      </w:pPr>
      <w:r>
        <w:rPr>
          <w:rFonts w:ascii="Cambria" w:hAnsi="Cambria"/>
          <w:b/>
          <w:sz w:val="24"/>
          <w:lang w:val="en-US"/>
        </w:rPr>
        <w:t xml:space="preserve">Table </w:t>
      </w:r>
      <w:r w:rsidR="00FF549C">
        <w:rPr>
          <w:rFonts w:ascii="Cambria" w:hAnsi="Cambria"/>
          <w:b/>
          <w:sz w:val="24"/>
          <w:lang w:val="en-US"/>
        </w:rPr>
        <w:t>1</w:t>
      </w:r>
      <w:r>
        <w:rPr>
          <w:rFonts w:ascii="Cambria" w:hAnsi="Cambria"/>
          <w:sz w:val="24"/>
          <w:lang w:val="en-US"/>
        </w:rPr>
        <w:t xml:space="preserve"> Mean plant height of soybean under different combinations of bionanofertilizer and NPK fertilizer dosage at 1,2, 3, 4, and 5 WAP</w:t>
      </w:r>
    </w:p>
    <w:tbl>
      <w:tblPr>
        <w:tblW w:w="6946" w:type="dxa"/>
        <w:tblInd w:w="1276" w:type="dxa"/>
        <w:tblLayout w:type="fixed"/>
        <w:tblLook w:val="04A0" w:firstRow="1" w:lastRow="0" w:firstColumn="1" w:lastColumn="0" w:noHBand="0" w:noVBand="1"/>
      </w:tblPr>
      <w:tblGrid>
        <w:gridCol w:w="2552"/>
        <w:gridCol w:w="1134"/>
        <w:gridCol w:w="1134"/>
        <w:gridCol w:w="1134"/>
        <w:gridCol w:w="992"/>
      </w:tblGrid>
      <w:tr w:rsidR="004930D7" w14:paraId="143DD050" w14:textId="77777777" w:rsidTr="00B0333E">
        <w:trPr>
          <w:trHeight w:val="277"/>
        </w:trPr>
        <w:tc>
          <w:tcPr>
            <w:tcW w:w="2552" w:type="dxa"/>
            <w:vMerge w:val="restart"/>
            <w:tcBorders>
              <w:top w:val="single" w:sz="12" w:space="0" w:color="000000"/>
            </w:tcBorders>
            <w:vAlign w:val="center"/>
          </w:tcPr>
          <w:p w14:paraId="363DF0EF" w14:textId="77777777" w:rsidR="004930D7" w:rsidRDefault="004930D7" w:rsidP="00E552E1">
            <w:pPr>
              <w:pStyle w:val="BodyText"/>
              <w:widowControl w:val="0"/>
              <w:spacing w:before="60" w:after="60"/>
              <w:jc w:val="center"/>
              <w:rPr>
                <w:i w:val="0"/>
                <w:szCs w:val="22"/>
              </w:rPr>
            </w:pPr>
            <w:r>
              <w:rPr>
                <w:i w:val="0"/>
                <w:szCs w:val="22"/>
              </w:rPr>
              <w:t>Treatment Combinations</w:t>
            </w:r>
          </w:p>
        </w:tc>
        <w:tc>
          <w:tcPr>
            <w:tcW w:w="4394" w:type="dxa"/>
            <w:gridSpan w:val="4"/>
            <w:tcBorders>
              <w:top w:val="single" w:sz="12" w:space="0" w:color="000000"/>
              <w:bottom w:val="single" w:sz="12" w:space="0" w:color="000000"/>
            </w:tcBorders>
            <w:vAlign w:val="center"/>
          </w:tcPr>
          <w:p w14:paraId="0150CFBA" w14:textId="2CBBC2EF" w:rsidR="004930D7" w:rsidRDefault="004930D7" w:rsidP="00E552E1">
            <w:pPr>
              <w:pStyle w:val="BodyText"/>
              <w:widowControl w:val="0"/>
              <w:spacing w:before="60" w:after="60"/>
              <w:jc w:val="center"/>
              <w:rPr>
                <w:i w:val="0"/>
                <w:szCs w:val="22"/>
              </w:rPr>
            </w:pPr>
            <w:r>
              <w:rPr>
                <w:i w:val="0"/>
                <w:szCs w:val="22"/>
              </w:rPr>
              <w:t xml:space="preserve"> Height of Plant</w:t>
            </w:r>
            <w:r w:rsidR="00B16E15">
              <w:rPr>
                <w:i w:val="0"/>
                <w:szCs w:val="22"/>
              </w:rPr>
              <w:t xml:space="preserve"> (cm)</w:t>
            </w:r>
          </w:p>
        </w:tc>
      </w:tr>
      <w:tr w:rsidR="004930D7" w14:paraId="59B04CAA" w14:textId="77777777" w:rsidTr="00B0333E">
        <w:trPr>
          <w:trHeight w:val="277"/>
        </w:trPr>
        <w:tc>
          <w:tcPr>
            <w:tcW w:w="2552" w:type="dxa"/>
            <w:vMerge/>
            <w:tcBorders>
              <w:bottom w:val="single" w:sz="12" w:space="0" w:color="000000"/>
            </w:tcBorders>
            <w:vAlign w:val="center"/>
          </w:tcPr>
          <w:p w14:paraId="226D5A51" w14:textId="77777777" w:rsidR="004930D7" w:rsidRDefault="004930D7" w:rsidP="00E552E1">
            <w:pPr>
              <w:pStyle w:val="BodyText"/>
              <w:widowControl w:val="0"/>
              <w:spacing w:before="60" w:after="60"/>
              <w:jc w:val="center"/>
              <w:rPr>
                <w:i w:val="0"/>
                <w:szCs w:val="22"/>
              </w:rPr>
            </w:pPr>
          </w:p>
        </w:tc>
        <w:tc>
          <w:tcPr>
            <w:tcW w:w="1134" w:type="dxa"/>
            <w:tcBorders>
              <w:top w:val="single" w:sz="12" w:space="0" w:color="000000"/>
              <w:bottom w:val="single" w:sz="12" w:space="0" w:color="000000"/>
            </w:tcBorders>
            <w:vAlign w:val="center"/>
          </w:tcPr>
          <w:p w14:paraId="582E9ED1" w14:textId="77777777" w:rsidR="004930D7" w:rsidRPr="002F0700" w:rsidRDefault="004930D7" w:rsidP="00E552E1">
            <w:pPr>
              <w:pStyle w:val="BodyText"/>
              <w:widowControl w:val="0"/>
              <w:spacing w:before="60" w:after="60"/>
              <w:jc w:val="center"/>
              <w:rPr>
                <w:i w:val="0"/>
                <w:iCs w:val="0"/>
                <w:szCs w:val="22"/>
              </w:rPr>
            </w:pPr>
            <w:r w:rsidRPr="002F0700">
              <w:rPr>
                <w:rFonts w:eastAsia="Times New Roman"/>
                <w:i w:val="0"/>
                <w:iCs w:val="0"/>
                <w:color w:val="000000"/>
                <w:sz w:val="20"/>
                <w:szCs w:val="20"/>
                <w:lang w:eastAsia="en-ID"/>
              </w:rPr>
              <w:t xml:space="preserve">1 </w:t>
            </w:r>
            <w:r>
              <w:rPr>
                <w:rFonts w:eastAsia="Times New Roman"/>
                <w:i w:val="0"/>
                <w:iCs w:val="0"/>
                <w:color w:val="000000"/>
                <w:sz w:val="20"/>
                <w:szCs w:val="20"/>
                <w:lang w:eastAsia="en-ID"/>
              </w:rPr>
              <w:t>WAP</w:t>
            </w:r>
          </w:p>
        </w:tc>
        <w:tc>
          <w:tcPr>
            <w:tcW w:w="1134" w:type="dxa"/>
            <w:tcBorders>
              <w:top w:val="single" w:sz="12" w:space="0" w:color="000000"/>
              <w:bottom w:val="single" w:sz="12" w:space="0" w:color="000000"/>
            </w:tcBorders>
            <w:vAlign w:val="center"/>
          </w:tcPr>
          <w:p w14:paraId="0F8FA1C4" w14:textId="77777777" w:rsidR="004930D7" w:rsidRPr="002F0700" w:rsidRDefault="004930D7" w:rsidP="00E552E1">
            <w:pPr>
              <w:pStyle w:val="BodyText"/>
              <w:widowControl w:val="0"/>
              <w:spacing w:before="60" w:after="60"/>
              <w:jc w:val="center"/>
              <w:rPr>
                <w:i w:val="0"/>
                <w:iCs w:val="0"/>
                <w:szCs w:val="22"/>
              </w:rPr>
            </w:pPr>
            <w:r w:rsidRPr="002F0700">
              <w:rPr>
                <w:rFonts w:eastAsia="Times New Roman"/>
                <w:i w:val="0"/>
                <w:iCs w:val="0"/>
                <w:color w:val="000000"/>
                <w:sz w:val="20"/>
                <w:szCs w:val="20"/>
                <w:lang w:eastAsia="en-ID"/>
              </w:rPr>
              <w:t xml:space="preserve">2 </w:t>
            </w:r>
            <w:r>
              <w:rPr>
                <w:rFonts w:eastAsia="Times New Roman"/>
                <w:i w:val="0"/>
                <w:iCs w:val="0"/>
                <w:color w:val="000000"/>
                <w:sz w:val="20"/>
                <w:szCs w:val="20"/>
                <w:lang w:eastAsia="en-ID"/>
              </w:rPr>
              <w:t>WAP</w:t>
            </w:r>
          </w:p>
        </w:tc>
        <w:tc>
          <w:tcPr>
            <w:tcW w:w="1134" w:type="dxa"/>
            <w:tcBorders>
              <w:top w:val="single" w:sz="12" w:space="0" w:color="000000"/>
              <w:bottom w:val="single" w:sz="12" w:space="0" w:color="000000"/>
            </w:tcBorders>
            <w:vAlign w:val="center"/>
          </w:tcPr>
          <w:p w14:paraId="143D924E" w14:textId="77777777" w:rsidR="004930D7" w:rsidRPr="002F0700" w:rsidRDefault="004930D7" w:rsidP="00E552E1">
            <w:pPr>
              <w:pStyle w:val="BodyText"/>
              <w:widowControl w:val="0"/>
              <w:spacing w:before="60" w:after="60"/>
              <w:jc w:val="center"/>
              <w:rPr>
                <w:i w:val="0"/>
                <w:iCs w:val="0"/>
                <w:szCs w:val="22"/>
              </w:rPr>
            </w:pPr>
            <w:r w:rsidRPr="002F0700">
              <w:rPr>
                <w:rFonts w:eastAsia="Times New Roman"/>
                <w:i w:val="0"/>
                <w:iCs w:val="0"/>
                <w:color w:val="000000"/>
                <w:sz w:val="20"/>
                <w:szCs w:val="20"/>
                <w:lang w:eastAsia="en-ID"/>
              </w:rPr>
              <w:t xml:space="preserve">3 </w:t>
            </w:r>
            <w:r>
              <w:rPr>
                <w:rFonts w:eastAsia="Times New Roman"/>
                <w:i w:val="0"/>
                <w:iCs w:val="0"/>
                <w:color w:val="000000"/>
                <w:sz w:val="20"/>
                <w:szCs w:val="20"/>
                <w:lang w:eastAsia="en-ID"/>
              </w:rPr>
              <w:t>WAP</w:t>
            </w:r>
          </w:p>
        </w:tc>
        <w:tc>
          <w:tcPr>
            <w:tcW w:w="992" w:type="dxa"/>
            <w:tcBorders>
              <w:top w:val="single" w:sz="12" w:space="0" w:color="000000"/>
              <w:bottom w:val="single" w:sz="12" w:space="0" w:color="000000"/>
            </w:tcBorders>
            <w:vAlign w:val="center"/>
          </w:tcPr>
          <w:p w14:paraId="1922735C" w14:textId="77777777" w:rsidR="004930D7" w:rsidRPr="002F0700" w:rsidRDefault="004930D7" w:rsidP="00E552E1">
            <w:pPr>
              <w:pStyle w:val="BodyText"/>
              <w:widowControl w:val="0"/>
              <w:spacing w:before="60" w:after="60"/>
              <w:jc w:val="center"/>
              <w:rPr>
                <w:i w:val="0"/>
                <w:iCs w:val="0"/>
                <w:szCs w:val="22"/>
              </w:rPr>
            </w:pPr>
            <w:r w:rsidRPr="002F0700">
              <w:rPr>
                <w:rFonts w:eastAsia="Times New Roman"/>
                <w:i w:val="0"/>
                <w:iCs w:val="0"/>
                <w:color w:val="000000"/>
                <w:sz w:val="20"/>
                <w:szCs w:val="20"/>
                <w:lang w:eastAsia="en-ID"/>
              </w:rPr>
              <w:t xml:space="preserve">4 </w:t>
            </w:r>
            <w:r>
              <w:rPr>
                <w:rFonts w:eastAsia="Times New Roman"/>
                <w:i w:val="0"/>
                <w:iCs w:val="0"/>
                <w:color w:val="000000"/>
                <w:sz w:val="20"/>
                <w:szCs w:val="20"/>
                <w:lang w:eastAsia="en-ID"/>
              </w:rPr>
              <w:t>WAP</w:t>
            </w:r>
          </w:p>
        </w:tc>
      </w:tr>
      <w:tr w:rsidR="007E78DD" w14:paraId="6274C5AB" w14:textId="77777777" w:rsidTr="00B0333E">
        <w:trPr>
          <w:trHeight w:val="112"/>
        </w:trPr>
        <w:tc>
          <w:tcPr>
            <w:tcW w:w="2552" w:type="dxa"/>
            <w:tcBorders>
              <w:top w:val="single" w:sz="12" w:space="0" w:color="000000"/>
            </w:tcBorders>
          </w:tcPr>
          <w:p w14:paraId="5B79F118" w14:textId="67F3C858" w:rsidR="007E78DD" w:rsidRPr="007E78DD" w:rsidRDefault="007E78DD" w:rsidP="007E78DD">
            <w:pPr>
              <w:pStyle w:val="BodyText"/>
              <w:widowControl w:val="0"/>
              <w:jc w:val="center"/>
              <w:rPr>
                <w:i w:val="0"/>
                <w:iCs w:val="0"/>
                <w:szCs w:val="22"/>
              </w:rPr>
            </w:pPr>
            <w:r w:rsidRPr="007E78DD">
              <w:rPr>
                <w:i w:val="0"/>
                <w:iCs w:val="0"/>
              </w:rPr>
              <w:t>B1S1</w:t>
            </w:r>
          </w:p>
        </w:tc>
        <w:tc>
          <w:tcPr>
            <w:tcW w:w="1134" w:type="dxa"/>
            <w:tcBorders>
              <w:top w:val="single" w:sz="12" w:space="0" w:color="000000"/>
            </w:tcBorders>
            <w:vAlign w:val="center"/>
          </w:tcPr>
          <w:p w14:paraId="70230FAA"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9,7 ab</w:t>
            </w:r>
          </w:p>
        </w:tc>
        <w:tc>
          <w:tcPr>
            <w:tcW w:w="1134" w:type="dxa"/>
            <w:tcBorders>
              <w:top w:val="single" w:sz="12" w:space="0" w:color="000000"/>
            </w:tcBorders>
            <w:vAlign w:val="center"/>
          </w:tcPr>
          <w:p w14:paraId="0C1CE6D2"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16,7 ab</w:t>
            </w:r>
          </w:p>
        </w:tc>
        <w:tc>
          <w:tcPr>
            <w:tcW w:w="1134" w:type="dxa"/>
            <w:tcBorders>
              <w:top w:val="single" w:sz="12" w:space="0" w:color="000000"/>
            </w:tcBorders>
            <w:vAlign w:val="center"/>
          </w:tcPr>
          <w:p w14:paraId="4BCFB5B8" w14:textId="77777777" w:rsidR="007E78DD" w:rsidRPr="002F0700" w:rsidRDefault="007E78DD" w:rsidP="007E78DD">
            <w:pPr>
              <w:pStyle w:val="BodyText"/>
              <w:widowControl w:val="0"/>
              <w:jc w:val="center"/>
              <w:rPr>
                <w:i w:val="0"/>
                <w:iCs w:val="0"/>
                <w:szCs w:val="22"/>
                <w:lang w:val="en-GB"/>
              </w:rPr>
            </w:pPr>
            <w:r w:rsidRPr="002F0700">
              <w:rPr>
                <w:rFonts w:eastAsia="Times New Roman"/>
                <w:i w:val="0"/>
                <w:iCs w:val="0"/>
                <w:color w:val="000000"/>
                <w:sz w:val="20"/>
                <w:szCs w:val="20"/>
                <w:lang w:eastAsia="en-ID"/>
              </w:rPr>
              <w:t>28,3 abc</w:t>
            </w:r>
          </w:p>
        </w:tc>
        <w:tc>
          <w:tcPr>
            <w:tcW w:w="992" w:type="dxa"/>
            <w:tcBorders>
              <w:top w:val="single" w:sz="12" w:space="0" w:color="000000"/>
            </w:tcBorders>
            <w:vAlign w:val="center"/>
          </w:tcPr>
          <w:p w14:paraId="7A7B2CDB" w14:textId="77777777" w:rsidR="007E78DD" w:rsidRPr="002F0700" w:rsidRDefault="007E78DD" w:rsidP="007E78DD">
            <w:pPr>
              <w:pStyle w:val="BodyText"/>
              <w:widowControl w:val="0"/>
              <w:jc w:val="center"/>
              <w:rPr>
                <w:i w:val="0"/>
                <w:iCs w:val="0"/>
                <w:szCs w:val="22"/>
                <w:lang w:val="en-GB"/>
              </w:rPr>
            </w:pPr>
            <w:r w:rsidRPr="002F0700">
              <w:rPr>
                <w:rFonts w:eastAsia="Times New Roman"/>
                <w:i w:val="0"/>
                <w:iCs w:val="0"/>
                <w:color w:val="000000"/>
                <w:sz w:val="20"/>
                <w:szCs w:val="20"/>
                <w:lang w:eastAsia="en-ID"/>
              </w:rPr>
              <w:t>32,2 abc</w:t>
            </w:r>
          </w:p>
        </w:tc>
      </w:tr>
      <w:tr w:rsidR="007E78DD" w14:paraId="565DC283" w14:textId="77777777" w:rsidTr="00B0333E">
        <w:trPr>
          <w:trHeight w:val="112"/>
        </w:trPr>
        <w:tc>
          <w:tcPr>
            <w:tcW w:w="2552" w:type="dxa"/>
          </w:tcPr>
          <w:p w14:paraId="34D0118E" w14:textId="24A7C59C" w:rsidR="007E78DD" w:rsidRPr="007E78DD" w:rsidRDefault="007E78DD" w:rsidP="007E78DD">
            <w:pPr>
              <w:pStyle w:val="BodyText"/>
              <w:widowControl w:val="0"/>
              <w:jc w:val="center"/>
              <w:rPr>
                <w:i w:val="0"/>
                <w:iCs w:val="0"/>
                <w:szCs w:val="22"/>
              </w:rPr>
            </w:pPr>
            <w:r w:rsidRPr="007E78DD">
              <w:rPr>
                <w:i w:val="0"/>
                <w:iCs w:val="0"/>
              </w:rPr>
              <w:t>B1S2</w:t>
            </w:r>
          </w:p>
        </w:tc>
        <w:tc>
          <w:tcPr>
            <w:tcW w:w="1134" w:type="dxa"/>
            <w:vAlign w:val="center"/>
          </w:tcPr>
          <w:p w14:paraId="2D3E45A9"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10,1 ab</w:t>
            </w:r>
          </w:p>
        </w:tc>
        <w:tc>
          <w:tcPr>
            <w:tcW w:w="1134" w:type="dxa"/>
            <w:vAlign w:val="center"/>
          </w:tcPr>
          <w:p w14:paraId="49032C67"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17,1 ab</w:t>
            </w:r>
          </w:p>
        </w:tc>
        <w:tc>
          <w:tcPr>
            <w:tcW w:w="1134" w:type="dxa"/>
            <w:vAlign w:val="center"/>
          </w:tcPr>
          <w:p w14:paraId="19CB3440"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29,8 bc</w:t>
            </w:r>
          </w:p>
        </w:tc>
        <w:tc>
          <w:tcPr>
            <w:tcW w:w="992" w:type="dxa"/>
            <w:vAlign w:val="center"/>
          </w:tcPr>
          <w:p w14:paraId="23A04402"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35,3 bcd</w:t>
            </w:r>
          </w:p>
        </w:tc>
      </w:tr>
      <w:tr w:rsidR="007E78DD" w14:paraId="20E33ED4" w14:textId="77777777" w:rsidTr="00B0333E">
        <w:trPr>
          <w:trHeight w:val="112"/>
        </w:trPr>
        <w:tc>
          <w:tcPr>
            <w:tcW w:w="2552" w:type="dxa"/>
          </w:tcPr>
          <w:p w14:paraId="65FC07DC" w14:textId="7635BC16" w:rsidR="007E78DD" w:rsidRPr="007E78DD" w:rsidRDefault="007E78DD" w:rsidP="007E78DD">
            <w:pPr>
              <w:pStyle w:val="BodyText"/>
              <w:widowControl w:val="0"/>
              <w:jc w:val="center"/>
              <w:rPr>
                <w:i w:val="0"/>
                <w:iCs w:val="0"/>
                <w:szCs w:val="22"/>
              </w:rPr>
            </w:pPr>
            <w:r w:rsidRPr="007E78DD">
              <w:rPr>
                <w:i w:val="0"/>
                <w:iCs w:val="0"/>
              </w:rPr>
              <w:t>B1S3</w:t>
            </w:r>
          </w:p>
        </w:tc>
        <w:tc>
          <w:tcPr>
            <w:tcW w:w="1134" w:type="dxa"/>
            <w:vAlign w:val="center"/>
          </w:tcPr>
          <w:p w14:paraId="10C66ED2"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9,5 ab</w:t>
            </w:r>
          </w:p>
        </w:tc>
        <w:tc>
          <w:tcPr>
            <w:tcW w:w="1134" w:type="dxa"/>
            <w:vAlign w:val="center"/>
          </w:tcPr>
          <w:p w14:paraId="27963759"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16,7 ab</w:t>
            </w:r>
          </w:p>
        </w:tc>
        <w:tc>
          <w:tcPr>
            <w:tcW w:w="1134" w:type="dxa"/>
            <w:vAlign w:val="center"/>
          </w:tcPr>
          <w:p w14:paraId="48D608A1"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28,2 abc</w:t>
            </w:r>
          </w:p>
        </w:tc>
        <w:tc>
          <w:tcPr>
            <w:tcW w:w="992" w:type="dxa"/>
            <w:vAlign w:val="center"/>
          </w:tcPr>
          <w:p w14:paraId="5615E446"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33,2 abc</w:t>
            </w:r>
          </w:p>
        </w:tc>
      </w:tr>
      <w:tr w:rsidR="007E78DD" w14:paraId="5671A430" w14:textId="77777777" w:rsidTr="00B0333E">
        <w:trPr>
          <w:trHeight w:val="123"/>
        </w:trPr>
        <w:tc>
          <w:tcPr>
            <w:tcW w:w="2552" w:type="dxa"/>
          </w:tcPr>
          <w:p w14:paraId="48EE05FC" w14:textId="1C24BDD3" w:rsidR="007E78DD" w:rsidRPr="007E78DD" w:rsidRDefault="007E78DD" w:rsidP="007E78DD">
            <w:pPr>
              <w:pStyle w:val="BodyText"/>
              <w:widowControl w:val="0"/>
              <w:jc w:val="center"/>
              <w:rPr>
                <w:i w:val="0"/>
                <w:iCs w:val="0"/>
                <w:szCs w:val="22"/>
              </w:rPr>
            </w:pPr>
            <w:r w:rsidRPr="007E78DD">
              <w:rPr>
                <w:i w:val="0"/>
                <w:iCs w:val="0"/>
              </w:rPr>
              <w:t>B2S1</w:t>
            </w:r>
          </w:p>
        </w:tc>
        <w:tc>
          <w:tcPr>
            <w:tcW w:w="1134" w:type="dxa"/>
            <w:vAlign w:val="center"/>
          </w:tcPr>
          <w:p w14:paraId="6E686C83"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10,3 ab</w:t>
            </w:r>
          </w:p>
        </w:tc>
        <w:tc>
          <w:tcPr>
            <w:tcW w:w="1134" w:type="dxa"/>
            <w:vAlign w:val="center"/>
          </w:tcPr>
          <w:p w14:paraId="3717C0DF"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17,4 ab</w:t>
            </w:r>
          </w:p>
        </w:tc>
        <w:tc>
          <w:tcPr>
            <w:tcW w:w="1134" w:type="dxa"/>
            <w:vAlign w:val="center"/>
          </w:tcPr>
          <w:p w14:paraId="254EF86A" w14:textId="77777777" w:rsidR="007E78DD" w:rsidRPr="002F0700" w:rsidRDefault="007E78DD" w:rsidP="007E78DD">
            <w:pPr>
              <w:pStyle w:val="BodyText"/>
              <w:widowControl w:val="0"/>
              <w:jc w:val="center"/>
              <w:rPr>
                <w:i w:val="0"/>
                <w:iCs w:val="0"/>
                <w:szCs w:val="22"/>
                <w:lang w:val="en-GB"/>
              </w:rPr>
            </w:pPr>
            <w:r w:rsidRPr="002F0700">
              <w:rPr>
                <w:rFonts w:eastAsia="Times New Roman"/>
                <w:i w:val="0"/>
                <w:iCs w:val="0"/>
                <w:color w:val="000000"/>
                <w:sz w:val="20"/>
                <w:szCs w:val="20"/>
                <w:lang w:eastAsia="en-ID"/>
              </w:rPr>
              <w:t>30,3 bc</w:t>
            </w:r>
          </w:p>
        </w:tc>
        <w:tc>
          <w:tcPr>
            <w:tcW w:w="992" w:type="dxa"/>
            <w:vAlign w:val="center"/>
          </w:tcPr>
          <w:p w14:paraId="619CC655" w14:textId="77777777" w:rsidR="007E78DD" w:rsidRPr="002F0700" w:rsidRDefault="007E78DD" w:rsidP="007E78DD">
            <w:pPr>
              <w:pStyle w:val="BodyText"/>
              <w:widowControl w:val="0"/>
              <w:jc w:val="center"/>
              <w:rPr>
                <w:i w:val="0"/>
                <w:iCs w:val="0"/>
                <w:szCs w:val="22"/>
                <w:lang w:val="en-GB"/>
              </w:rPr>
            </w:pPr>
            <w:r w:rsidRPr="002F0700">
              <w:rPr>
                <w:rFonts w:eastAsia="Times New Roman"/>
                <w:i w:val="0"/>
                <w:iCs w:val="0"/>
                <w:color w:val="000000"/>
                <w:sz w:val="20"/>
                <w:szCs w:val="20"/>
                <w:lang w:eastAsia="en-ID"/>
              </w:rPr>
              <w:t>37 cd</w:t>
            </w:r>
          </w:p>
        </w:tc>
      </w:tr>
      <w:tr w:rsidR="007E78DD" w14:paraId="5A61BF3C" w14:textId="77777777" w:rsidTr="00B0333E">
        <w:trPr>
          <w:trHeight w:val="112"/>
        </w:trPr>
        <w:tc>
          <w:tcPr>
            <w:tcW w:w="2552" w:type="dxa"/>
          </w:tcPr>
          <w:p w14:paraId="60B4A232" w14:textId="4E451E48" w:rsidR="007E78DD" w:rsidRPr="007E78DD" w:rsidRDefault="007E78DD" w:rsidP="007E78DD">
            <w:pPr>
              <w:pStyle w:val="BodyText"/>
              <w:widowControl w:val="0"/>
              <w:jc w:val="center"/>
              <w:rPr>
                <w:i w:val="0"/>
                <w:iCs w:val="0"/>
                <w:szCs w:val="22"/>
              </w:rPr>
            </w:pPr>
            <w:r w:rsidRPr="007E78DD">
              <w:rPr>
                <w:i w:val="0"/>
                <w:iCs w:val="0"/>
              </w:rPr>
              <w:t>B2S2</w:t>
            </w:r>
          </w:p>
        </w:tc>
        <w:tc>
          <w:tcPr>
            <w:tcW w:w="1134" w:type="dxa"/>
            <w:vAlign w:val="center"/>
          </w:tcPr>
          <w:p w14:paraId="0CBF536D"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14,5 c</w:t>
            </w:r>
          </w:p>
        </w:tc>
        <w:tc>
          <w:tcPr>
            <w:tcW w:w="1134" w:type="dxa"/>
            <w:vAlign w:val="center"/>
          </w:tcPr>
          <w:p w14:paraId="22F0285C"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21,7 c</w:t>
            </w:r>
          </w:p>
        </w:tc>
        <w:tc>
          <w:tcPr>
            <w:tcW w:w="1134" w:type="dxa"/>
            <w:vAlign w:val="center"/>
          </w:tcPr>
          <w:p w14:paraId="724907E4"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35,3 d</w:t>
            </w:r>
          </w:p>
        </w:tc>
        <w:tc>
          <w:tcPr>
            <w:tcW w:w="992" w:type="dxa"/>
            <w:vAlign w:val="center"/>
          </w:tcPr>
          <w:p w14:paraId="76C0B80D"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44 e</w:t>
            </w:r>
          </w:p>
        </w:tc>
      </w:tr>
      <w:tr w:rsidR="007E78DD" w14:paraId="0BBB349C" w14:textId="77777777" w:rsidTr="00B0333E">
        <w:trPr>
          <w:trHeight w:val="112"/>
        </w:trPr>
        <w:tc>
          <w:tcPr>
            <w:tcW w:w="2552" w:type="dxa"/>
          </w:tcPr>
          <w:p w14:paraId="72F24C04" w14:textId="552BCD5D" w:rsidR="007E78DD" w:rsidRPr="007E78DD" w:rsidRDefault="007E78DD" w:rsidP="007E78DD">
            <w:pPr>
              <w:pStyle w:val="BodyText"/>
              <w:widowControl w:val="0"/>
              <w:jc w:val="center"/>
              <w:rPr>
                <w:i w:val="0"/>
                <w:iCs w:val="0"/>
                <w:szCs w:val="22"/>
              </w:rPr>
            </w:pPr>
            <w:r w:rsidRPr="007E78DD">
              <w:rPr>
                <w:i w:val="0"/>
                <w:iCs w:val="0"/>
              </w:rPr>
              <w:t>B2S3</w:t>
            </w:r>
          </w:p>
        </w:tc>
        <w:tc>
          <w:tcPr>
            <w:tcW w:w="1134" w:type="dxa"/>
            <w:vAlign w:val="center"/>
          </w:tcPr>
          <w:p w14:paraId="545B32E2"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11,2 b</w:t>
            </w:r>
          </w:p>
        </w:tc>
        <w:tc>
          <w:tcPr>
            <w:tcW w:w="1134" w:type="dxa"/>
            <w:vAlign w:val="center"/>
          </w:tcPr>
          <w:p w14:paraId="49BBE4A3"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18 b</w:t>
            </w:r>
          </w:p>
        </w:tc>
        <w:tc>
          <w:tcPr>
            <w:tcW w:w="1134" w:type="dxa"/>
            <w:vAlign w:val="center"/>
          </w:tcPr>
          <w:p w14:paraId="483F2791"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31,2 c</w:t>
            </w:r>
          </w:p>
        </w:tc>
        <w:tc>
          <w:tcPr>
            <w:tcW w:w="992" w:type="dxa"/>
            <w:vAlign w:val="center"/>
          </w:tcPr>
          <w:p w14:paraId="39DDC429"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38,9 d</w:t>
            </w:r>
          </w:p>
        </w:tc>
      </w:tr>
      <w:tr w:rsidR="007E78DD" w14:paraId="1B068078" w14:textId="77777777" w:rsidTr="00B0333E">
        <w:trPr>
          <w:trHeight w:val="112"/>
        </w:trPr>
        <w:tc>
          <w:tcPr>
            <w:tcW w:w="2552" w:type="dxa"/>
          </w:tcPr>
          <w:p w14:paraId="27DE04BD" w14:textId="191087AB" w:rsidR="007E78DD" w:rsidRPr="007E78DD" w:rsidRDefault="007E78DD" w:rsidP="007E78DD">
            <w:pPr>
              <w:pStyle w:val="BodyText"/>
              <w:widowControl w:val="0"/>
              <w:jc w:val="center"/>
              <w:rPr>
                <w:i w:val="0"/>
                <w:iCs w:val="0"/>
                <w:szCs w:val="22"/>
              </w:rPr>
            </w:pPr>
            <w:r w:rsidRPr="007E78DD">
              <w:rPr>
                <w:i w:val="0"/>
                <w:iCs w:val="0"/>
              </w:rPr>
              <w:t>B3S1</w:t>
            </w:r>
          </w:p>
        </w:tc>
        <w:tc>
          <w:tcPr>
            <w:tcW w:w="1134" w:type="dxa"/>
            <w:vAlign w:val="center"/>
          </w:tcPr>
          <w:p w14:paraId="0B6885C1"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9,6 ab</w:t>
            </w:r>
          </w:p>
        </w:tc>
        <w:tc>
          <w:tcPr>
            <w:tcW w:w="1134" w:type="dxa"/>
            <w:vAlign w:val="center"/>
          </w:tcPr>
          <w:p w14:paraId="43DFEE57"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16,5 ab</w:t>
            </w:r>
          </w:p>
        </w:tc>
        <w:tc>
          <w:tcPr>
            <w:tcW w:w="1134" w:type="dxa"/>
            <w:vAlign w:val="center"/>
          </w:tcPr>
          <w:p w14:paraId="00C76669" w14:textId="77777777" w:rsidR="007E78DD" w:rsidRPr="002F0700" w:rsidRDefault="007E78DD" w:rsidP="007E78DD">
            <w:pPr>
              <w:pStyle w:val="BodyText"/>
              <w:widowControl w:val="0"/>
              <w:jc w:val="center"/>
              <w:rPr>
                <w:i w:val="0"/>
                <w:iCs w:val="0"/>
                <w:szCs w:val="22"/>
                <w:lang w:val="en-GB"/>
              </w:rPr>
            </w:pPr>
            <w:r w:rsidRPr="002F0700">
              <w:rPr>
                <w:rFonts w:eastAsia="Times New Roman"/>
                <w:i w:val="0"/>
                <w:iCs w:val="0"/>
                <w:color w:val="000000"/>
                <w:sz w:val="20"/>
                <w:szCs w:val="20"/>
                <w:lang w:eastAsia="en-ID"/>
              </w:rPr>
              <w:t>28 abc</w:t>
            </w:r>
          </w:p>
        </w:tc>
        <w:tc>
          <w:tcPr>
            <w:tcW w:w="992" w:type="dxa"/>
            <w:vAlign w:val="center"/>
          </w:tcPr>
          <w:p w14:paraId="7CB085B6" w14:textId="77777777" w:rsidR="007E78DD" w:rsidRPr="002F0700" w:rsidRDefault="007E78DD" w:rsidP="007E78DD">
            <w:pPr>
              <w:pStyle w:val="BodyText"/>
              <w:widowControl w:val="0"/>
              <w:jc w:val="center"/>
              <w:rPr>
                <w:i w:val="0"/>
                <w:iCs w:val="0"/>
                <w:szCs w:val="22"/>
                <w:lang w:val="en-GB"/>
              </w:rPr>
            </w:pPr>
            <w:r w:rsidRPr="002F0700">
              <w:rPr>
                <w:rFonts w:eastAsia="Times New Roman"/>
                <w:i w:val="0"/>
                <w:iCs w:val="0"/>
                <w:color w:val="000000"/>
                <w:sz w:val="20"/>
                <w:szCs w:val="20"/>
                <w:lang w:eastAsia="en-ID"/>
              </w:rPr>
              <w:t>32 ab</w:t>
            </w:r>
          </w:p>
        </w:tc>
      </w:tr>
      <w:tr w:rsidR="007E78DD" w14:paraId="09CFBFBD" w14:textId="77777777" w:rsidTr="00B0333E">
        <w:trPr>
          <w:trHeight w:val="112"/>
        </w:trPr>
        <w:tc>
          <w:tcPr>
            <w:tcW w:w="2552" w:type="dxa"/>
          </w:tcPr>
          <w:p w14:paraId="637B4971" w14:textId="42CA87F8" w:rsidR="007E78DD" w:rsidRPr="007E78DD" w:rsidRDefault="007E78DD" w:rsidP="007E78DD">
            <w:pPr>
              <w:pStyle w:val="BodyText"/>
              <w:widowControl w:val="0"/>
              <w:jc w:val="center"/>
              <w:rPr>
                <w:i w:val="0"/>
                <w:iCs w:val="0"/>
                <w:szCs w:val="22"/>
              </w:rPr>
            </w:pPr>
            <w:r w:rsidRPr="007E78DD">
              <w:rPr>
                <w:i w:val="0"/>
                <w:iCs w:val="0"/>
              </w:rPr>
              <w:t>B3S2</w:t>
            </w:r>
          </w:p>
        </w:tc>
        <w:tc>
          <w:tcPr>
            <w:tcW w:w="1134" w:type="dxa"/>
            <w:vAlign w:val="center"/>
          </w:tcPr>
          <w:p w14:paraId="0BBD69B1"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9a</w:t>
            </w:r>
          </w:p>
        </w:tc>
        <w:tc>
          <w:tcPr>
            <w:tcW w:w="1134" w:type="dxa"/>
            <w:vAlign w:val="center"/>
          </w:tcPr>
          <w:p w14:paraId="7C8C6584"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15 a</w:t>
            </w:r>
          </w:p>
        </w:tc>
        <w:tc>
          <w:tcPr>
            <w:tcW w:w="1134" w:type="dxa"/>
            <w:vAlign w:val="center"/>
          </w:tcPr>
          <w:p w14:paraId="311F7E54"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26 a</w:t>
            </w:r>
          </w:p>
        </w:tc>
        <w:tc>
          <w:tcPr>
            <w:tcW w:w="992" w:type="dxa"/>
            <w:vAlign w:val="center"/>
          </w:tcPr>
          <w:p w14:paraId="203E1C48"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30,2 a</w:t>
            </w:r>
          </w:p>
        </w:tc>
      </w:tr>
      <w:tr w:rsidR="007E78DD" w14:paraId="277582F0" w14:textId="77777777" w:rsidTr="00B0333E">
        <w:trPr>
          <w:trHeight w:val="112"/>
        </w:trPr>
        <w:tc>
          <w:tcPr>
            <w:tcW w:w="2552" w:type="dxa"/>
            <w:tcBorders>
              <w:bottom w:val="single" w:sz="12" w:space="0" w:color="auto"/>
            </w:tcBorders>
          </w:tcPr>
          <w:p w14:paraId="01FB7760" w14:textId="19E40855" w:rsidR="007E78DD" w:rsidRPr="007E78DD" w:rsidRDefault="007E78DD" w:rsidP="007E78DD">
            <w:pPr>
              <w:pStyle w:val="BodyText"/>
              <w:widowControl w:val="0"/>
              <w:jc w:val="center"/>
              <w:rPr>
                <w:i w:val="0"/>
                <w:iCs w:val="0"/>
                <w:szCs w:val="22"/>
              </w:rPr>
            </w:pPr>
            <w:r w:rsidRPr="007E78DD">
              <w:rPr>
                <w:i w:val="0"/>
                <w:iCs w:val="0"/>
              </w:rPr>
              <w:t>B3S3</w:t>
            </w:r>
          </w:p>
        </w:tc>
        <w:tc>
          <w:tcPr>
            <w:tcW w:w="1134" w:type="dxa"/>
            <w:tcBorders>
              <w:bottom w:val="single" w:sz="12" w:space="0" w:color="auto"/>
            </w:tcBorders>
            <w:vAlign w:val="center"/>
          </w:tcPr>
          <w:p w14:paraId="271F5CD1"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9,5 ab</w:t>
            </w:r>
          </w:p>
        </w:tc>
        <w:tc>
          <w:tcPr>
            <w:tcW w:w="1134" w:type="dxa"/>
            <w:tcBorders>
              <w:bottom w:val="single" w:sz="12" w:space="0" w:color="auto"/>
            </w:tcBorders>
            <w:vAlign w:val="center"/>
          </w:tcPr>
          <w:p w14:paraId="79388794" w14:textId="77777777" w:rsidR="007E78DD" w:rsidRPr="002F0700" w:rsidRDefault="007E78DD" w:rsidP="007E78DD">
            <w:pPr>
              <w:pStyle w:val="BodyText"/>
              <w:widowControl w:val="0"/>
              <w:jc w:val="center"/>
              <w:rPr>
                <w:i w:val="0"/>
                <w:iCs w:val="0"/>
                <w:szCs w:val="22"/>
              </w:rPr>
            </w:pPr>
            <w:r w:rsidRPr="002F0700">
              <w:rPr>
                <w:rFonts w:eastAsia="Times New Roman"/>
                <w:i w:val="0"/>
                <w:iCs w:val="0"/>
                <w:color w:val="000000"/>
                <w:sz w:val="20"/>
                <w:szCs w:val="20"/>
                <w:lang w:eastAsia="en-ID"/>
              </w:rPr>
              <w:t>15,5 a</w:t>
            </w:r>
          </w:p>
        </w:tc>
        <w:tc>
          <w:tcPr>
            <w:tcW w:w="1134" w:type="dxa"/>
            <w:tcBorders>
              <w:bottom w:val="single" w:sz="12" w:space="0" w:color="auto"/>
            </w:tcBorders>
            <w:vAlign w:val="center"/>
          </w:tcPr>
          <w:p w14:paraId="08B63ED1"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27,5 ab</w:t>
            </w:r>
          </w:p>
        </w:tc>
        <w:tc>
          <w:tcPr>
            <w:tcW w:w="992" w:type="dxa"/>
            <w:tcBorders>
              <w:bottom w:val="single" w:sz="12" w:space="0" w:color="auto"/>
            </w:tcBorders>
            <w:vAlign w:val="center"/>
          </w:tcPr>
          <w:p w14:paraId="529489C1" w14:textId="77777777" w:rsidR="007E78DD" w:rsidRPr="002F0700" w:rsidRDefault="007E78DD" w:rsidP="007E78DD">
            <w:pPr>
              <w:pStyle w:val="BodyText"/>
              <w:widowControl w:val="0"/>
              <w:jc w:val="center"/>
              <w:rPr>
                <w:i w:val="0"/>
                <w:iCs w:val="0"/>
              </w:rPr>
            </w:pPr>
            <w:r w:rsidRPr="002F0700">
              <w:rPr>
                <w:rFonts w:eastAsia="Times New Roman"/>
                <w:i w:val="0"/>
                <w:iCs w:val="0"/>
                <w:color w:val="000000"/>
                <w:sz w:val="20"/>
                <w:szCs w:val="20"/>
                <w:lang w:eastAsia="en-ID"/>
              </w:rPr>
              <w:t>31,1 ab</w:t>
            </w:r>
          </w:p>
        </w:tc>
      </w:tr>
    </w:tbl>
    <w:p w14:paraId="578714EA" w14:textId="43870737" w:rsidR="001E25DC" w:rsidRDefault="00A85CB8" w:rsidP="00A63001">
      <w:pPr>
        <w:tabs>
          <w:tab w:val="left" w:pos="450"/>
        </w:tabs>
        <w:spacing w:after="0"/>
        <w:ind w:left="709" w:hanging="283"/>
        <w:rPr>
          <w:rFonts w:ascii="Cambria" w:hAnsi="Cambria"/>
          <w:bCs/>
          <w:kern w:val="2"/>
          <w:sz w:val="24"/>
        </w:rPr>
      </w:pPr>
      <w:r>
        <w:rPr>
          <w:rFonts w:ascii="Cambria" w:hAnsi="Cambria"/>
          <w:bCs/>
          <w:kern w:val="2"/>
          <w:sz w:val="24"/>
        </w:rPr>
        <w:t>Note:</w:t>
      </w:r>
    </w:p>
    <w:p w14:paraId="691E3B0A" w14:textId="084EA331" w:rsidR="00A85CB8" w:rsidRDefault="00A85CB8" w:rsidP="00A85CB8">
      <w:pPr>
        <w:pStyle w:val="ListParagraph"/>
        <w:numPr>
          <w:ilvl w:val="0"/>
          <w:numId w:val="6"/>
        </w:numPr>
        <w:tabs>
          <w:tab w:val="left" w:pos="450"/>
        </w:tabs>
        <w:spacing w:after="0"/>
        <w:rPr>
          <w:rFonts w:ascii="Cambria" w:hAnsi="Cambria"/>
          <w:sz w:val="24"/>
        </w:rPr>
      </w:pPr>
      <w:r>
        <w:rPr>
          <w:rFonts w:ascii="Cambria" w:hAnsi="Cambria"/>
          <w:sz w:val="24"/>
        </w:rPr>
        <w:t>WAP = Weeks After Planting</w:t>
      </w:r>
    </w:p>
    <w:p w14:paraId="387F17A2" w14:textId="5F432825" w:rsidR="009A3F8F" w:rsidRPr="009A3F8F" w:rsidRDefault="009A3F8F" w:rsidP="009A3F8F">
      <w:pPr>
        <w:pStyle w:val="ListParagraph"/>
        <w:numPr>
          <w:ilvl w:val="0"/>
          <w:numId w:val="6"/>
        </w:numPr>
        <w:tabs>
          <w:tab w:val="left" w:pos="450"/>
        </w:tabs>
        <w:spacing w:after="0"/>
        <w:rPr>
          <w:rFonts w:ascii="Cambria" w:hAnsi="Cambria"/>
          <w:sz w:val="24"/>
        </w:rPr>
      </w:pPr>
      <w:r w:rsidRPr="00CC082C">
        <w:rPr>
          <w:rFonts w:ascii="Cambria" w:hAnsi="Cambria"/>
          <w:sz w:val="24"/>
        </w:rPr>
        <w:t>B</w:t>
      </w:r>
      <w:r>
        <w:rPr>
          <w:rFonts w:ascii="Cambria" w:hAnsi="Cambria"/>
          <w:sz w:val="24"/>
        </w:rPr>
        <w:t xml:space="preserve">1 - B3 = </w:t>
      </w:r>
      <w:r w:rsidRPr="00CC082C">
        <w:rPr>
          <w:rFonts w:ascii="Cambria" w:hAnsi="Cambria"/>
          <w:sz w:val="24"/>
        </w:rPr>
        <w:t xml:space="preserve">liquid organic fertilizer </w:t>
      </w:r>
      <w:r w:rsidR="0019351E" w:rsidRPr="0019351E">
        <w:rPr>
          <w:rFonts w:ascii="Cambria" w:hAnsi="Cambria"/>
          <w:sz w:val="24"/>
          <w:lang w:val="en-GB"/>
        </w:rPr>
        <w:t>dosage levels</w:t>
      </w:r>
    </w:p>
    <w:p w14:paraId="47CBD582" w14:textId="1E70895D" w:rsidR="00A85CB8" w:rsidRDefault="00A85CB8" w:rsidP="00A85CB8">
      <w:pPr>
        <w:pStyle w:val="ListParagraph"/>
        <w:numPr>
          <w:ilvl w:val="0"/>
          <w:numId w:val="6"/>
        </w:numPr>
        <w:tabs>
          <w:tab w:val="left" w:pos="450"/>
        </w:tabs>
        <w:spacing w:after="0"/>
        <w:rPr>
          <w:rFonts w:ascii="Cambria" w:hAnsi="Cambria"/>
          <w:sz w:val="24"/>
        </w:rPr>
      </w:pPr>
      <w:r>
        <w:rPr>
          <w:rFonts w:ascii="Cambria" w:hAnsi="Cambria"/>
          <w:sz w:val="24"/>
        </w:rPr>
        <w:t xml:space="preserve">S1 - S3 = </w:t>
      </w:r>
      <w:r w:rsidRPr="00CC082C">
        <w:rPr>
          <w:rFonts w:ascii="Cambria" w:hAnsi="Cambria"/>
          <w:sz w:val="24"/>
        </w:rPr>
        <w:t>NPK fertilizer</w:t>
      </w:r>
      <w:r w:rsidR="0019351E">
        <w:rPr>
          <w:rFonts w:ascii="Cambria" w:hAnsi="Cambria"/>
          <w:sz w:val="24"/>
        </w:rPr>
        <w:t xml:space="preserve"> </w:t>
      </w:r>
      <w:r w:rsidR="0019351E" w:rsidRPr="0019351E">
        <w:rPr>
          <w:rFonts w:ascii="Cambria" w:hAnsi="Cambria"/>
          <w:sz w:val="24"/>
          <w:lang w:val="en-GB"/>
        </w:rPr>
        <w:t>dosage levels</w:t>
      </w:r>
    </w:p>
    <w:p w14:paraId="76ED5320" w14:textId="77777777" w:rsidR="00A63001" w:rsidRDefault="009A3F8F" w:rsidP="004930D7">
      <w:pPr>
        <w:pStyle w:val="ListParagraph"/>
        <w:numPr>
          <w:ilvl w:val="0"/>
          <w:numId w:val="6"/>
        </w:numPr>
        <w:tabs>
          <w:tab w:val="left" w:pos="450"/>
        </w:tabs>
        <w:spacing w:after="0"/>
        <w:rPr>
          <w:rFonts w:ascii="Cambria" w:hAnsi="Cambria"/>
          <w:sz w:val="24"/>
        </w:rPr>
      </w:pPr>
      <w:r>
        <w:rPr>
          <w:rFonts w:ascii="Cambria" w:hAnsi="Cambria"/>
          <w:sz w:val="24"/>
        </w:rPr>
        <w:t xml:space="preserve">a, ab, bc, c = </w:t>
      </w:r>
      <w:r w:rsidR="00DF3C73">
        <w:rPr>
          <w:rFonts w:ascii="Cambria" w:hAnsi="Cambria"/>
          <w:sz w:val="24"/>
        </w:rPr>
        <w:t>different lowercase letters</w:t>
      </w:r>
    </w:p>
    <w:p w14:paraId="44948612" w14:textId="77777777" w:rsidR="00A63001" w:rsidRDefault="00A63001" w:rsidP="00A63001">
      <w:pPr>
        <w:tabs>
          <w:tab w:val="left" w:pos="450"/>
        </w:tabs>
        <w:spacing w:after="0"/>
        <w:ind w:left="426"/>
        <w:rPr>
          <w:rFonts w:ascii="Cambria" w:hAnsi="Cambria"/>
          <w:bCs/>
          <w:kern w:val="2"/>
          <w:sz w:val="24"/>
        </w:rPr>
      </w:pPr>
    </w:p>
    <w:p w14:paraId="71528826" w14:textId="3A0E5626" w:rsidR="004930D7" w:rsidRPr="00A63001" w:rsidRDefault="00A63001" w:rsidP="00A63001">
      <w:pPr>
        <w:tabs>
          <w:tab w:val="left" w:pos="450"/>
        </w:tabs>
        <w:spacing w:after="0"/>
        <w:ind w:left="426"/>
        <w:rPr>
          <w:rFonts w:ascii="Cambria" w:hAnsi="Cambria"/>
          <w:sz w:val="24"/>
        </w:rPr>
      </w:pPr>
      <w:r>
        <w:rPr>
          <w:rFonts w:ascii="Cambria" w:hAnsi="Cambria"/>
          <w:bCs/>
          <w:kern w:val="2"/>
          <w:sz w:val="24"/>
        </w:rPr>
        <w:tab/>
      </w:r>
      <w:r>
        <w:rPr>
          <w:rFonts w:ascii="Cambria" w:hAnsi="Cambria"/>
          <w:bCs/>
          <w:kern w:val="2"/>
          <w:sz w:val="24"/>
        </w:rPr>
        <w:tab/>
      </w:r>
      <w:r w:rsidR="004930D7" w:rsidRPr="00A63001">
        <w:rPr>
          <w:rFonts w:ascii="Cambria" w:hAnsi="Cambria"/>
          <w:bCs/>
          <w:kern w:val="2"/>
          <w:sz w:val="24"/>
        </w:rPr>
        <w:t>The results showed that the B2S2 treatment produced the highest mean plant height at three WAP (35.3 cm), which was significantly different from the other treatment combinations. Similar trends were observed at four and five WAP, with average plant heights of 44 cm and 63.3 cm, respectively. These findings indicate that the combined application of bionanofertilizer at an optimum concentration and balanced NPK fertilization effectively supported soybean vegetative growth. Adequate nutrient availability during the vegetative stage promotes cell division, stem elongation, and leaf development, which ultimately contribute to increased plant height.</w:t>
      </w:r>
    </w:p>
    <w:p w14:paraId="063E0CAC" w14:textId="61A010F4" w:rsidR="004930D7" w:rsidRPr="002F0700" w:rsidRDefault="004930D7" w:rsidP="004930D7">
      <w:pPr>
        <w:tabs>
          <w:tab w:val="left" w:pos="450"/>
        </w:tabs>
        <w:spacing w:after="0"/>
        <w:rPr>
          <w:rFonts w:ascii="Cambria" w:hAnsi="Cambria"/>
          <w:bCs/>
          <w:kern w:val="2"/>
          <w:sz w:val="24"/>
        </w:rPr>
      </w:pPr>
      <w:r>
        <w:rPr>
          <w:rFonts w:ascii="Cambria" w:hAnsi="Cambria"/>
          <w:bCs/>
          <w:kern w:val="2"/>
          <w:sz w:val="24"/>
        </w:rPr>
        <w:lastRenderedPageBreak/>
        <w:tab/>
      </w:r>
      <w:r w:rsidRPr="002F0700">
        <w:rPr>
          <w:rFonts w:ascii="Cambria" w:hAnsi="Cambria"/>
          <w:bCs/>
          <w:kern w:val="2"/>
          <w:sz w:val="24"/>
          <w:lang w:val="en-ID"/>
        </w:rPr>
        <w:t xml:space="preserve">The superior performance of the B2S2 treatment may be attributed to the synergistic interaction between the beneficial microorganisms contained in bionanofertilizer and the balanced supply of macronutrients provided by NPK fertilizer. Nitrogen plays an important role in chlorophyll formation and protein synthesis, thereby enhancing photosynthetic activity and vegetative development. Phosphorus contributes to cell division, energy transfer, and root development, whereas potassium regulates enzymatic activities and facilitates assimilate translocation throughout plant tissues. The balanced availability of these nutrients enables soybean plants to achieve optimum physiological performance during vegetative growth </w:t>
      </w:r>
      <w:r w:rsidR="001E25DC">
        <w:rPr>
          <w:rFonts w:ascii="Cambria" w:hAnsi="Cambria"/>
          <w:bCs/>
          <w:kern w:val="2"/>
          <w:sz w:val="24"/>
          <w:lang w:val="en-ID"/>
        </w:rPr>
        <w:fldChar w:fldCharType="begin"/>
      </w:r>
      <w:r w:rsidR="001E25DC">
        <w:rPr>
          <w:rFonts w:ascii="Cambria" w:hAnsi="Cambria"/>
          <w:bCs/>
          <w:kern w:val="2"/>
          <w:sz w:val="24"/>
          <w:lang w:val="en-ID"/>
        </w:rPr>
        <w:instrText xml:space="preserve"> ADDIN ZOTERO_ITEM CSL_CITATION {"citationID":"4lb8l8L2","properties":{"unsorted":false,"formattedCitation":"(Han et al., 2022; Hao et al., 2023)","plainCitation":"(Han et al., 2022; Hao et al., 2023)","noteIndex":0},"citationItems":[{"id":389,"uris":["http://zotero.org/users/local/jSzQgGyj/items/TNR5ITUX"],"itemData":{"id":389,"type":"article-journal","abstract":"Abstract\n            \n              Background\n              Limitation of plant productivity by phosphorus (P) supply is widespread and will probably increase in the future. Relatively large amounts of P fertilizer are applied to sustain crop growth and development and to achieve high yields. However, with increasing P application, plant P efficiency generally declines, which results in greater losses of P to the environment with detrimental consequences for ecosystems.\n            \n            \n              Scope\n              A strategy for reducing P input and environmental losses while maintaining or increasing plant performance is the development of crops that take up P effectively from the soil (P acquisition efficiency) or promote productivity per unit of P taken up (P utilization efficiency). In this review, we describe current research on P metabolism and transport and its relevance for improving P utilization efficiency.\n            \n            \n              Conclusions\n              Enhanced P utilization efficiency can be achieved by optimal partitioning of cellular P and distributing P effectively between tissues, allowing maximum growth and biomass of harvestable plant parts. Knowledge of the mechanisms involved could help design and breed crops with greater P utilization efficiency.","container-title":"Annals of Botany","DOI":"10.1093/aob/mcab145","ISSN":"0305-7364, 1095-8290","issue":"3","language":"en","license":"https://academic.oup.com/journals/pages/open_access/funder_policies/chorus/standard_publication_model","page":"247-258","source":"DOI.org (Crossref)","title":"Mechanisms for improving phosphorus utilization efficiency in plants","volume":"129","author":[{"family":"Han","given":"Yang"},{"family":"White","given":"Philip J"},{"family":"Cheng","given":"Lingyun"}],"issued":{"date-parts":[["2022",2,11]]}}},{"id":383,"uris":["http://zotero.org/users/local/jSzQgGyj/items/H2P8UEME"],"itemData":{"id":383,"type":"article-journal","container-title":"The Crop Journal","DOI":"10.1016/j.cj.2023.06.003","ISSN":"22145141","issue":"4","journalAbbreviation":"The Crop Journal","language":"en","page":"1034-1047","source":"DOI.org (Crossref)","title":"Phosphorylation regulation of nitrogen, phosphorus, and potassium uptake systems in plants","volume":"11","author":[{"family":"Hao","given":"Dongli"},{"family":"Li","given":"Xiaohui"},{"family":"Kong","given":"Weiyi"},{"family":"Chen","given":"Rongrong"},{"family":"Liu","given":"Jianxiu"},{"family":"Guo","given":"Hailin"},{"family":"Zhou","given":"Jinyan"}],"issued":{"date-parts":[["2023",8]]}}}],"schema":"https://github.com/citation-style-language/schema/raw/master/csl-citation.json"} </w:instrText>
      </w:r>
      <w:r w:rsidR="001E25DC">
        <w:rPr>
          <w:rFonts w:ascii="Cambria" w:hAnsi="Cambria"/>
          <w:bCs/>
          <w:kern w:val="2"/>
          <w:sz w:val="24"/>
          <w:lang w:val="en-ID"/>
        </w:rPr>
        <w:fldChar w:fldCharType="separate"/>
      </w:r>
      <w:r w:rsidR="001E25DC" w:rsidRPr="001E25DC">
        <w:rPr>
          <w:rFonts w:ascii="Cambria" w:hAnsi="Cambria"/>
          <w:sz w:val="24"/>
          <w:lang w:val="en-ID"/>
        </w:rPr>
        <w:t>(Han et al., 2022; Hao et al., 2023)</w:t>
      </w:r>
      <w:r w:rsidR="001E25DC">
        <w:rPr>
          <w:rFonts w:ascii="Cambria" w:hAnsi="Cambria"/>
          <w:bCs/>
          <w:kern w:val="2"/>
          <w:sz w:val="24"/>
          <w:lang w:val="en-ID"/>
        </w:rPr>
        <w:fldChar w:fldCharType="end"/>
      </w:r>
      <w:r w:rsidR="001E25DC">
        <w:rPr>
          <w:rFonts w:ascii="Cambria" w:hAnsi="Cambria"/>
          <w:bCs/>
          <w:kern w:val="2"/>
          <w:sz w:val="24"/>
          <w:lang w:val="en-ID"/>
        </w:rPr>
        <w:t>.</w:t>
      </w:r>
    </w:p>
    <w:p w14:paraId="1578E77F" w14:textId="7B67D033" w:rsidR="004930D7" w:rsidRPr="002F0700" w:rsidRDefault="004930D7" w:rsidP="004930D7">
      <w:pPr>
        <w:tabs>
          <w:tab w:val="left" w:pos="450"/>
        </w:tabs>
        <w:spacing w:after="0"/>
        <w:rPr>
          <w:rFonts w:ascii="Cambria" w:hAnsi="Cambria"/>
          <w:bCs/>
          <w:kern w:val="2"/>
          <w:sz w:val="24"/>
          <w:lang w:val="en-ID"/>
        </w:rPr>
      </w:pPr>
      <w:r>
        <w:rPr>
          <w:rFonts w:ascii="Cambria" w:hAnsi="Cambria"/>
          <w:bCs/>
          <w:kern w:val="2"/>
          <w:sz w:val="24"/>
          <w:lang w:val="en-ID"/>
        </w:rPr>
        <w:tab/>
      </w:r>
      <w:r w:rsidRPr="002F0700">
        <w:rPr>
          <w:rFonts w:ascii="Cambria" w:hAnsi="Cambria"/>
          <w:bCs/>
          <w:kern w:val="2"/>
          <w:sz w:val="24"/>
          <w:lang w:val="en-ID"/>
        </w:rPr>
        <w:t xml:space="preserve">In addition to supplying essential nutrients, bionanofertilizer improves nutrient use efficiency through nano-enabled delivery mechanisms and microbial activities within the rhizosphere. Beneficial microorganisms stimulate root proliferation and enhance nutrient solubilization, thereby increasing nutrient uptake efficiency. Consequently, soybean plants receiving optimum fertilization exhibit improved vegetative performance, including greater plant height. Similar findings were reported by </w:t>
      </w:r>
      <w:r w:rsidR="006D11DE">
        <w:rPr>
          <w:rFonts w:ascii="Cambria" w:hAnsi="Cambria"/>
          <w:bCs/>
          <w:kern w:val="2"/>
          <w:sz w:val="24"/>
          <w:lang w:val="en-ID"/>
        </w:rPr>
        <w:fldChar w:fldCharType="begin"/>
      </w:r>
      <w:r w:rsidR="006D11DE">
        <w:rPr>
          <w:rFonts w:ascii="Cambria" w:hAnsi="Cambria"/>
          <w:bCs/>
          <w:kern w:val="2"/>
          <w:sz w:val="24"/>
          <w:lang w:val="en-ID"/>
        </w:rPr>
        <w:instrText xml:space="preserve"> ADDIN ZOTERO_ITEM CSL_CITATION {"citationID":"o3tmiQ3g","properties":{"unsorted":false,"formattedCitation":"(Widiatmanta et al., 2023)","plainCitation":"(Widiatmanta et al., 2023)","noteIndex":0},"citationItems":[{"id":375,"uris":["http://zotero.org/users/local/jSzQgGyj/items/6VP93BNT"],"itemData":{"id":375,"type":"article-journal","abstract":"Zucchini (Cucurbita pepo L.) is a member of the Cucurbitaceae group that is of interest to the public because it has high economic value. However, there are obstacles to cultivation, one way to overcome them is by using nano technology fertilizer and planting media. The aim of this research was to find out the interaction between doses of nanote chnology compound fertilizer and planting media on the growth and yield of zucchini plants (Cucurbita pepo L.). The research method used was a Factorial Randomized Block Design with two factors. First factor: concentration of compound fertilizer with nano technology (P) which consists of 4 levels, namely: P0: control (without application of nano technology fertilizer) P1: concentration of nano fertilizer 5 ml/L P2: concentration of nano fertilizer 10 ml/L P3: concentration of fertilizer nano 15 ml/L Second factor: the composition of the planting medium which consists of 3 levels, namely: M1: Husk charcoal: cocopeat: vermicompost (1:1:1) M2: Husk charcoal: cocopeat: vermicompost (1:1:2) M3: Husk charcoal: cocopeat: vermicompost (1:1:3) Variables observed were plant height (cm), stem diameter (cm), flowering time (DAT), fruit diameter (cm), fruit weight (grams) and fruit length (cm ). From the research results it can be concluded that there is a real interaction in the treatment of nano fertilizer and planting media. The best combination was seen in the application of 10 ml/L nano fertilizer and husk charcoal planting media: cocopeat : vermicompost (1:1:3) (P2M3), at a plant height of 18.96 cm, stem diameter of 1.169, fruit weight of 630 grams, fruit length 43.50 cm and fruit diameter 75.66 cm.","container-title":"VIABEL: Jurnal Ilmiah Ilmu-Ilmu Pertanian","DOI":"10.35457/viabel.v17i2.3124","ISSN":"2527-3345, 1978-5259","issue":"2","journalAbbreviation":"viabel","license":"https://creativecommons.org/licenses/by-sa/4.0","page":"91-97","source":"DOI.org (Crossref)","title":"Konsentrasi Foliar Spraying Pupuk Berteknologi Nano Dan Media Tanam Pada Pertumbuhan Dan Hasil Tanaman Zukini (cucurbita Pepo L.)","volume":"17","author":[{"family":"Widiatmanta","given":"Jeka"},{"family":"Wibowo","given":"Agung Setya"},{"family":"Serdani","given":"Army Dita"},{"family":"Puspitorini","given":"Palupi"},{"family":"Qoyim","given":"Zainul"}],"issued":{"date-parts":[["2023",11,27]]}}}],"schema":"https://github.com/citation-style-language/schema/raw/master/csl-citation.json"} </w:instrText>
      </w:r>
      <w:r w:rsidR="006D11DE">
        <w:rPr>
          <w:rFonts w:ascii="Cambria" w:hAnsi="Cambria"/>
          <w:bCs/>
          <w:kern w:val="2"/>
          <w:sz w:val="24"/>
          <w:lang w:val="en-ID"/>
        </w:rPr>
        <w:fldChar w:fldCharType="separate"/>
      </w:r>
      <w:r w:rsidR="006D11DE" w:rsidRPr="006D11DE">
        <w:rPr>
          <w:rFonts w:ascii="Cambria" w:hAnsi="Cambria"/>
          <w:sz w:val="24"/>
          <w:lang w:val="en-ID"/>
        </w:rPr>
        <w:t>Widiatmanta et al.</w:t>
      </w:r>
      <w:r w:rsidR="006D11DE">
        <w:rPr>
          <w:rFonts w:ascii="Cambria" w:hAnsi="Cambria"/>
          <w:sz w:val="24"/>
          <w:lang w:val="en-ID"/>
        </w:rPr>
        <w:t xml:space="preserve"> (</w:t>
      </w:r>
      <w:r w:rsidR="006D11DE" w:rsidRPr="006D11DE">
        <w:rPr>
          <w:rFonts w:ascii="Cambria" w:hAnsi="Cambria"/>
          <w:sz w:val="24"/>
          <w:lang w:val="en-ID"/>
        </w:rPr>
        <w:t>2023)</w:t>
      </w:r>
      <w:r w:rsidR="006D11DE">
        <w:rPr>
          <w:rFonts w:ascii="Cambria" w:hAnsi="Cambria"/>
          <w:bCs/>
          <w:kern w:val="2"/>
          <w:sz w:val="24"/>
          <w:lang w:val="en-ID"/>
        </w:rPr>
        <w:fldChar w:fldCharType="end"/>
      </w:r>
      <w:r w:rsidR="00901A69">
        <w:rPr>
          <w:rFonts w:ascii="Cambria" w:hAnsi="Cambria"/>
          <w:bCs/>
          <w:kern w:val="2"/>
          <w:sz w:val="24"/>
          <w:lang w:val="en-ID"/>
        </w:rPr>
        <w:t xml:space="preserve">, </w:t>
      </w:r>
      <w:r w:rsidRPr="002F0700">
        <w:rPr>
          <w:rFonts w:ascii="Cambria" w:hAnsi="Cambria"/>
          <w:bCs/>
          <w:kern w:val="2"/>
          <w:sz w:val="24"/>
          <w:lang w:val="en-ID"/>
        </w:rPr>
        <w:t>who demonstrated that nano fertilizer application significantly improved plant growth responses through enhanced nutrient utilization efficiency. Likewise, Patil et al. (2025) reported that nano fertilizer application positively affected soybean growth and productivity through improved nutrient absorption mechanisms.</w:t>
      </w:r>
    </w:p>
    <w:p w14:paraId="5AE7209E" w14:textId="77777777" w:rsidR="004930D7" w:rsidRDefault="004930D7" w:rsidP="004930D7">
      <w:pPr>
        <w:tabs>
          <w:tab w:val="left" w:pos="450"/>
        </w:tabs>
        <w:spacing w:after="0"/>
        <w:rPr>
          <w:rFonts w:ascii="Cambria" w:hAnsi="Cambria"/>
          <w:bCs/>
          <w:kern w:val="2"/>
          <w:sz w:val="24"/>
          <w:lang w:val="en-ID"/>
        </w:rPr>
      </w:pPr>
      <w:r>
        <w:rPr>
          <w:rFonts w:ascii="Cambria" w:hAnsi="Cambria"/>
          <w:bCs/>
          <w:kern w:val="2"/>
          <w:sz w:val="24"/>
          <w:lang w:val="en-ID"/>
        </w:rPr>
        <w:tab/>
      </w:r>
      <w:r w:rsidRPr="002F0700">
        <w:rPr>
          <w:rFonts w:ascii="Cambria" w:hAnsi="Cambria"/>
          <w:bCs/>
          <w:kern w:val="2"/>
          <w:sz w:val="24"/>
          <w:lang w:val="en-ID"/>
        </w:rPr>
        <w:t>Interestingly, the treatment combinations receiving the highest fertilizer concentrations did not consistently produce the best growth responses. This finding suggests that increasing fertilizer concentration beyond the optimum level does not necessarily enhance soybean growth performance. Excessive nutrient availability may reduce nutrient use efficiency and potentially create nutrient imbalances within plant tissues. Therefore, optimum fertilization should emphasize balanced nutrient supply rather than maximum fertilizer dosage. The present findings demonstrate that the moderate combination of bionanofertilizer concentration and NPK fertilizer dosage was more effective than higher application rates under the experimental conditions employed in this study.</w:t>
      </w:r>
    </w:p>
    <w:p w14:paraId="5FE52CED" w14:textId="77777777" w:rsidR="00B0333E" w:rsidRDefault="00933C72" w:rsidP="00B0333E">
      <w:pPr>
        <w:tabs>
          <w:tab w:val="left" w:pos="450"/>
        </w:tabs>
        <w:spacing w:after="0"/>
        <w:rPr>
          <w:rFonts w:ascii="Cambria" w:hAnsi="Cambria"/>
          <w:bCs/>
          <w:kern w:val="2"/>
          <w:sz w:val="24"/>
          <w:lang w:val="en-ID"/>
        </w:rPr>
      </w:pPr>
      <w:r>
        <w:rPr>
          <w:rFonts w:ascii="Cambria" w:hAnsi="Cambria"/>
          <w:bCs/>
          <w:kern w:val="2"/>
          <w:sz w:val="24"/>
          <w:lang w:val="en-ID"/>
        </w:rPr>
        <w:tab/>
      </w:r>
      <w:r w:rsidR="004930D7" w:rsidRPr="002F0700">
        <w:rPr>
          <w:rFonts w:ascii="Cambria" w:hAnsi="Cambria"/>
          <w:bCs/>
          <w:kern w:val="2"/>
          <w:sz w:val="24"/>
          <w:lang w:val="en-ID"/>
        </w:rPr>
        <w:t>Overall, the results indicate that the combination of 9 mL L⁻¹ bionanofertilizer and 9 g plant⁻¹ NPK fertilizer represents the optimum treatment for improving soybean plant height. The synergistic interaction between nano-based biofertilizer and balanced NPK fertilization contributed substantially to vegetative growth by enhancing nutrient availability, nutrient uptake efficiency, and physiological processes associated with soybean development. These findings further support the potential application of integrated fertilization strategies for improving soybean productivity in sustainable agricultural systems.</w:t>
      </w:r>
    </w:p>
    <w:p w14:paraId="7F03E3EB" w14:textId="77777777" w:rsidR="00B0333E" w:rsidRDefault="00B0333E" w:rsidP="00B0333E">
      <w:pPr>
        <w:tabs>
          <w:tab w:val="left" w:pos="450"/>
        </w:tabs>
        <w:spacing w:after="0"/>
        <w:rPr>
          <w:rFonts w:ascii="Cambria" w:hAnsi="Cambria"/>
          <w:bCs/>
          <w:kern w:val="2"/>
          <w:sz w:val="24"/>
          <w:lang w:val="en-ID"/>
        </w:rPr>
      </w:pPr>
    </w:p>
    <w:p w14:paraId="6C349892" w14:textId="77777777" w:rsidR="00B0333E" w:rsidRDefault="004930D7" w:rsidP="00B0333E">
      <w:pPr>
        <w:tabs>
          <w:tab w:val="left" w:pos="450"/>
        </w:tabs>
        <w:spacing w:after="0"/>
        <w:rPr>
          <w:rFonts w:ascii="Cambria" w:hAnsi="Cambria"/>
          <w:bCs/>
          <w:kern w:val="2"/>
          <w:sz w:val="24"/>
          <w:lang w:val="en-ID"/>
        </w:rPr>
      </w:pPr>
      <w:r>
        <w:rPr>
          <w:rFonts w:ascii="Cambria" w:hAnsi="Cambria"/>
          <w:i/>
          <w:sz w:val="24"/>
          <w:lang w:val="en-US"/>
        </w:rPr>
        <w:t>3</w:t>
      </w:r>
      <w:r>
        <w:rPr>
          <w:rFonts w:ascii="Cambria" w:hAnsi="Cambria"/>
          <w:i/>
          <w:sz w:val="24"/>
        </w:rPr>
        <w:t>.</w:t>
      </w:r>
      <w:r>
        <w:rPr>
          <w:rFonts w:ascii="Cambria" w:hAnsi="Cambria"/>
          <w:i/>
          <w:sz w:val="24"/>
          <w:lang w:val="en-US"/>
        </w:rPr>
        <w:t>2</w:t>
      </w:r>
      <w:r>
        <w:rPr>
          <w:rFonts w:ascii="Cambria" w:hAnsi="Cambria"/>
          <w:i/>
          <w:sz w:val="24"/>
        </w:rPr>
        <w:t>. Effect of Bionanofertilizer Concentration and NPK Fertilizer Dosage on Soybean Stem Diameter</w:t>
      </w:r>
    </w:p>
    <w:p w14:paraId="4BE854A0" w14:textId="77777777" w:rsidR="00A3531E" w:rsidRDefault="00B0333E" w:rsidP="00B0333E">
      <w:pPr>
        <w:tabs>
          <w:tab w:val="left" w:pos="450"/>
        </w:tabs>
        <w:spacing w:after="0"/>
        <w:rPr>
          <w:rFonts w:ascii="Cambria" w:hAnsi="Cambria"/>
          <w:kern w:val="2"/>
          <w:sz w:val="24"/>
        </w:rPr>
      </w:pPr>
      <w:r>
        <w:rPr>
          <w:rFonts w:ascii="Cambria" w:hAnsi="Cambria"/>
          <w:bCs/>
          <w:kern w:val="2"/>
          <w:sz w:val="24"/>
          <w:lang w:val="en-ID"/>
        </w:rPr>
        <w:tab/>
      </w:r>
      <w:r w:rsidR="004930D7" w:rsidRPr="00CB2F45">
        <w:rPr>
          <w:rFonts w:ascii="Cambria" w:hAnsi="Cambria"/>
          <w:kern w:val="2"/>
          <w:sz w:val="24"/>
        </w:rPr>
        <w:t>The analysis of variance (ANOVA) at the 5% significance level revealed that the interaction between bionanofertilizer concentration and NPK fertilizer dosage significantly affected soybean stem diameter throughout the observation period, namely at one, two, three, four, and five weeks after planting (WAP). The results of Duncan's Multiple Range Test (DMRT) further demonstrated that the treatment combination of 9 mL L⁻¹ bionanofertilizer and 9 g plant⁻¹ NPK fertilizer (B2S2) consistently produced the greatest stem diameter compared with the remaining treatment combinations. These findings indicate that the combined application of bionanofertilizer and balanced NPK fertilization substantially</w:t>
      </w:r>
    </w:p>
    <w:p w14:paraId="32C031D0" w14:textId="7AA5F657" w:rsidR="004930D7" w:rsidRPr="00B0333E" w:rsidRDefault="004930D7" w:rsidP="00A3531E">
      <w:pPr>
        <w:tabs>
          <w:tab w:val="left" w:pos="450"/>
        </w:tabs>
        <w:spacing w:after="0"/>
        <w:ind w:left="426"/>
        <w:rPr>
          <w:rFonts w:ascii="Cambria" w:hAnsi="Cambria"/>
          <w:bCs/>
          <w:kern w:val="2"/>
          <w:sz w:val="24"/>
          <w:lang w:val="en-ID"/>
        </w:rPr>
      </w:pPr>
      <w:r w:rsidRPr="00CB2F45">
        <w:rPr>
          <w:rFonts w:ascii="Cambria" w:hAnsi="Cambria"/>
          <w:kern w:val="2"/>
          <w:sz w:val="24"/>
        </w:rPr>
        <w:lastRenderedPageBreak/>
        <w:t>contributed to soybean vegetative development by improving nutrient availability and utilization efficiency during plant growth.</w:t>
      </w:r>
    </w:p>
    <w:p w14:paraId="1243D540" w14:textId="77777777" w:rsidR="004930D7" w:rsidRDefault="004930D7" w:rsidP="004930D7">
      <w:pPr>
        <w:tabs>
          <w:tab w:val="left" w:pos="450"/>
        </w:tabs>
        <w:snapToGrid w:val="0"/>
        <w:spacing w:after="0"/>
        <w:rPr>
          <w:rFonts w:ascii="Cambria" w:hAnsi="Cambria"/>
          <w:kern w:val="2"/>
          <w:sz w:val="24"/>
        </w:rPr>
      </w:pPr>
    </w:p>
    <w:p w14:paraId="4F58C62D" w14:textId="7ABFDDFB" w:rsidR="004930D7" w:rsidRPr="00F45B37" w:rsidRDefault="004930D7" w:rsidP="004930D7">
      <w:pPr>
        <w:tabs>
          <w:tab w:val="left" w:pos="450"/>
        </w:tabs>
        <w:ind w:left="426"/>
        <w:rPr>
          <w:rFonts w:ascii="Cambria" w:hAnsi="Cambria"/>
          <w:sz w:val="24"/>
          <w:lang w:val="en-US"/>
        </w:rPr>
      </w:pPr>
      <w:r>
        <w:rPr>
          <w:rFonts w:ascii="Cambria" w:hAnsi="Cambria"/>
          <w:b/>
          <w:sz w:val="24"/>
          <w:lang w:val="en-US"/>
        </w:rPr>
        <w:t xml:space="preserve">Table </w:t>
      </w:r>
      <w:r w:rsidR="00B0333E">
        <w:rPr>
          <w:rFonts w:ascii="Cambria" w:hAnsi="Cambria"/>
          <w:b/>
          <w:sz w:val="24"/>
          <w:lang w:val="en-US"/>
        </w:rPr>
        <w:t>2</w:t>
      </w:r>
      <w:r>
        <w:rPr>
          <w:rFonts w:ascii="Cambria" w:hAnsi="Cambria"/>
          <w:sz w:val="24"/>
          <w:lang w:val="en-US"/>
        </w:rPr>
        <w:t xml:space="preserve"> Mean </w:t>
      </w:r>
      <w:r w:rsidR="00B16E15">
        <w:rPr>
          <w:rFonts w:ascii="Cambria" w:hAnsi="Cambria"/>
          <w:sz w:val="24"/>
          <w:lang w:val="en-US"/>
        </w:rPr>
        <w:t>stem diameter</w:t>
      </w:r>
      <w:r>
        <w:rPr>
          <w:rFonts w:ascii="Cambria" w:hAnsi="Cambria"/>
          <w:sz w:val="24"/>
          <w:lang w:val="en-US"/>
        </w:rPr>
        <w:t xml:space="preserve"> of soybean under different combinations of bionanofertilizer and NPK fertilizer dosage at 1,2, 3, 4, and 5 WAP</w:t>
      </w:r>
    </w:p>
    <w:tbl>
      <w:tblPr>
        <w:tblW w:w="7514" w:type="dxa"/>
        <w:jc w:val="center"/>
        <w:tblLook w:val="04A0" w:firstRow="1" w:lastRow="0" w:firstColumn="1" w:lastColumn="0" w:noHBand="0" w:noVBand="1"/>
      </w:tblPr>
      <w:tblGrid>
        <w:gridCol w:w="2552"/>
        <w:gridCol w:w="993"/>
        <w:gridCol w:w="992"/>
        <w:gridCol w:w="992"/>
        <w:gridCol w:w="992"/>
        <w:gridCol w:w="993"/>
      </w:tblGrid>
      <w:tr w:rsidR="004930D7" w:rsidRPr="00B16E15" w14:paraId="779A7DCE" w14:textId="77777777" w:rsidTr="00967B40">
        <w:trPr>
          <w:trHeight w:val="340"/>
          <w:jc w:val="center"/>
        </w:trPr>
        <w:tc>
          <w:tcPr>
            <w:tcW w:w="2552" w:type="dxa"/>
            <w:vMerge w:val="restart"/>
            <w:tcBorders>
              <w:top w:val="single" w:sz="18" w:space="0" w:color="auto"/>
              <w:left w:val="nil"/>
              <w:right w:val="nil"/>
            </w:tcBorders>
            <w:vAlign w:val="center"/>
          </w:tcPr>
          <w:p w14:paraId="1BB78298" w14:textId="77777777" w:rsidR="004930D7" w:rsidRPr="00B16E15" w:rsidRDefault="004930D7" w:rsidP="00E552E1">
            <w:pPr>
              <w:spacing w:after="0" w:line="360" w:lineRule="auto"/>
              <w:jc w:val="center"/>
              <w:rPr>
                <w:rFonts w:eastAsia="Times New Roman"/>
                <w:iCs/>
                <w:color w:val="000000"/>
                <w:sz w:val="20"/>
                <w:szCs w:val="20"/>
                <w:lang w:eastAsia="en-ID"/>
              </w:rPr>
            </w:pPr>
            <w:r w:rsidRPr="00B16E15">
              <w:rPr>
                <w:iCs/>
                <w:sz w:val="20"/>
                <w:szCs w:val="20"/>
              </w:rPr>
              <w:t>Treatment Combinations</w:t>
            </w:r>
          </w:p>
        </w:tc>
        <w:tc>
          <w:tcPr>
            <w:tcW w:w="4962" w:type="dxa"/>
            <w:gridSpan w:val="5"/>
            <w:tcBorders>
              <w:top w:val="single" w:sz="18" w:space="0" w:color="auto"/>
              <w:left w:val="nil"/>
              <w:bottom w:val="single" w:sz="18" w:space="0" w:color="auto"/>
              <w:right w:val="nil"/>
            </w:tcBorders>
            <w:noWrap/>
            <w:vAlign w:val="center"/>
            <w:hideMark/>
          </w:tcPr>
          <w:p w14:paraId="6A19B751" w14:textId="77777777" w:rsidR="004930D7" w:rsidRPr="00B16E15" w:rsidRDefault="004930D7" w:rsidP="00E552E1">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Stem Diameter (mm)</w:t>
            </w:r>
          </w:p>
        </w:tc>
      </w:tr>
      <w:tr w:rsidR="004930D7" w:rsidRPr="00B16E15" w14:paraId="13E1DAAA" w14:textId="77777777" w:rsidTr="00967B40">
        <w:trPr>
          <w:trHeight w:val="340"/>
          <w:jc w:val="center"/>
        </w:trPr>
        <w:tc>
          <w:tcPr>
            <w:tcW w:w="2552" w:type="dxa"/>
            <w:vMerge/>
            <w:tcBorders>
              <w:left w:val="nil"/>
              <w:bottom w:val="single" w:sz="18" w:space="0" w:color="auto"/>
              <w:right w:val="nil"/>
            </w:tcBorders>
            <w:vAlign w:val="center"/>
          </w:tcPr>
          <w:p w14:paraId="7CD950CD" w14:textId="77777777" w:rsidR="004930D7" w:rsidRPr="00B16E15" w:rsidRDefault="004930D7" w:rsidP="00E552E1">
            <w:pPr>
              <w:spacing w:after="0" w:line="360" w:lineRule="auto"/>
              <w:rPr>
                <w:rFonts w:eastAsia="Times New Roman"/>
                <w:iCs/>
                <w:color w:val="000000"/>
                <w:sz w:val="20"/>
                <w:szCs w:val="20"/>
                <w:lang w:eastAsia="en-ID"/>
              </w:rPr>
            </w:pPr>
          </w:p>
        </w:tc>
        <w:tc>
          <w:tcPr>
            <w:tcW w:w="993" w:type="dxa"/>
            <w:tcBorders>
              <w:top w:val="single" w:sz="18" w:space="0" w:color="auto"/>
              <w:left w:val="nil"/>
              <w:bottom w:val="single" w:sz="18" w:space="0" w:color="auto"/>
              <w:right w:val="nil"/>
            </w:tcBorders>
            <w:noWrap/>
            <w:vAlign w:val="center"/>
            <w:hideMark/>
          </w:tcPr>
          <w:p w14:paraId="37FDCA2D" w14:textId="77777777" w:rsidR="004930D7" w:rsidRPr="00B16E15" w:rsidRDefault="004930D7" w:rsidP="00E552E1">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 WAP</w:t>
            </w:r>
          </w:p>
        </w:tc>
        <w:tc>
          <w:tcPr>
            <w:tcW w:w="992" w:type="dxa"/>
            <w:tcBorders>
              <w:top w:val="single" w:sz="18" w:space="0" w:color="auto"/>
              <w:left w:val="nil"/>
              <w:bottom w:val="single" w:sz="18" w:space="0" w:color="auto"/>
              <w:right w:val="nil"/>
            </w:tcBorders>
            <w:noWrap/>
            <w:vAlign w:val="center"/>
            <w:hideMark/>
          </w:tcPr>
          <w:p w14:paraId="1E41E403" w14:textId="77777777" w:rsidR="004930D7" w:rsidRPr="00B16E15" w:rsidRDefault="004930D7" w:rsidP="00E552E1">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 WAP</w:t>
            </w:r>
          </w:p>
        </w:tc>
        <w:tc>
          <w:tcPr>
            <w:tcW w:w="992" w:type="dxa"/>
            <w:tcBorders>
              <w:top w:val="single" w:sz="18" w:space="0" w:color="auto"/>
              <w:left w:val="nil"/>
              <w:bottom w:val="single" w:sz="18" w:space="0" w:color="auto"/>
              <w:right w:val="nil"/>
            </w:tcBorders>
            <w:noWrap/>
            <w:vAlign w:val="center"/>
            <w:hideMark/>
          </w:tcPr>
          <w:p w14:paraId="60D4FB63" w14:textId="77777777" w:rsidR="004930D7" w:rsidRPr="00B16E15" w:rsidRDefault="004930D7" w:rsidP="00E552E1">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 WAP</w:t>
            </w:r>
          </w:p>
        </w:tc>
        <w:tc>
          <w:tcPr>
            <w:tcW w:w="992" w:type="dxa"/>
            <w:tcBorders>
              <w:top w:val="single" w:sz="18" w:space="0" w:color="auto"/>
              <w:left w:val="nil"/>
              <w:bottom w:val="single" w:sz="18" w:space="0" w:color="auto"/>
              <w:right w:val="nil"/>
            </w:tcBorders>
            <w:noWrap/>
            <w:vAlign w:val="center"/>
            <w:hideMark/>
          </w:tcPr>
          <w:p w14:paraId="65BCFCEC" w14:textId="77777777" w:rsidR="004930D7" w:rsidRPr="00B16E15" w:rsidRDefault="004930D7" w:rsidP="00E552E1">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 WAP</w:t>
            </w:r>
          </w:p>
        </w:tc>
        <w:tc>
          <w:tcPr>
            <w:tcW w:w="993" w:type="dxa"/>
            <w:tcBorders>
              <w:top w:val="single" w:sz="18" w:space="0" w:color="auto"/>
              <w:left w:val="nil"/>
              <w:bottom w:val="single" w:sz="18" w:space="0" w:color="auto"/>
              <w:right w:val="nil"/>
            </w:tcBorders>
            <w:noWrap/>
            <w:vAlign w:val="center"/>
            <w:hideMark/>
          </w:tcPr>
          <w:p w14:paraId="1E3FE285" w14:textId="77777777" w:rsidR="004930D7" w:rsidRPr="00B16E15" w:rsidRDefault="004930D7" w:rsidP="00E552E1">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 WAP</w:t>
            </w:r>
          </w:p>
        </w:tc>
      </w:tr>
      <w:tr w:rsidR="007E78DD" w:rsidRPr="00B16E15" w14:paraId="5A228660" w14:textId="77777777" w:rsidTr="00967B40">
        <w:trPr>
          <w:trHeight w:val="340"/>
          <w:jc w:val="center"/>
        </w:trPr>
        <w:tc>
          <w:tcPr>
            <w:tcW w:w="2552" w:type="dxa"/>
            <w:tcBorders>
              <w:top w:val="single" w:sz="18" w:space="0" w:color="auto"/>
              <w:left w:val="nil"/>
              <w:bottom w:val="nil"/>
              <w:right w:val="nil"/>
            </w:tcBorders>
          </w:tcPr>
          <w:p w14:paraId="5A8E7722" w14:textId="099BEEC2" w:rsidR="007E78DD" w:rsidRPr="00B16E15" w:rsidRDefault="007E78DD" w:rsidP="007E78DD">
            <w:pPr>
              <w:spacing w:after="0" w:line="360" w:lineRule="auto"/>
              <w:jc w:val="center"/>
              <w:rPr>
                <w:rFonts w:eastAsia="Times New Roman"/>
                <w:iCs/>
                <w:color w:val="000000"/>
                <w:sz w:val="20"/>
                <w:szCs w:val="20"/>
                <w:lang w:eastAsia="en-ID"/>
              </w:rPr>
            </w:pPr>
            <w:r w:rsidRPr="00B16E15">
              <w:rPr>
                <w:sz w:val="20"/>
                <w:szCs w:val="20"/>
              </w:rPr>
              <w:t>B1S1</w:t>
            </w:r>
          </w:p>
        </w:tc>
        <w:tc>
          <w:tcPr>
            <w:tcW w:w="993" w:type="dxa"/>
            <w:tcBorders>
              <w:top w:val="single" w:sz="18" w:space="0" w:color="auto"/>
              <w:left w:val="nil"/>
              <w:bottom w:val="nil"/>
              <w:right w:val="nil"/>
            </w:tcBorders>
            <w:noWrap/>
            <w:vAlign w:val="center"/>
            <w:hideMark/>
          </w:tcPr>
          <w:p w14:paraId="267D4937"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17,7 ab</w:t>
            </w:r>
          </w:p>
        </w:tc>
        <w:tc>
          <w:tcPr>
            <w:tcW w:w="992" w:type="dxa"/>
            <w:tcBorders>
              <w:top w:val="single" w:sz="18" w:space="0" w:color="auto"/>
              <w:left w:val="nil"/>
              <w:bottom w:val="nil"/>
              <w:right w:val="nil"/>
            </w:tcBorders>
            <w:noWrap/>
            <w:vAlign w:val="center"/>
            <w:hideMark/>
          </w:tcPr>
          <w:p w14:paraId="2F6E921B"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24,2 a</w:t>
            </w:r>
          </w:p>
        </w:tc>
        <w:tc>
          <w:tcPr>
            <w:tcW w:w="992" w:type="dxa"/>
            <w:tcBorders>
              <w:top w:val="single" w:sz="18" w:space="0" w:color="auto"/>
              <w:left w:val="nil"/>
              <w:bottom w:val="nil"/>
              <w:right w:val="nil"/>
            </w:tcBorders>
            <w:noWrap/>
            <w:vAlign w:val="center"/>
            <w:hideMark/>
          </w:tcPr>
          <w:p w14:paraId="3FE7E874"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32 ab</w:t>
            </w:r>
          </w:p>
        </w:tc>
        <w:tc>
          <w:tcPr>
            <w:tcW w:w="992" w:type="dxa"/>
            <w:tcBorders>
              <w:top w:val="single" w:sz="18" w:space="0" w:color="auto"/>
              <w:left w:val="nil"/>
              <w:bottom w:val="nil"/>
              <w:right w:val="nil"/>
            </w:tcBorders>
            <w:noWrap/>
            <w:vAlign w:val="center"/>
            <w:hideMark/>
          </w:tcPr>
          <w:p w14:paraId="3ECD9164"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42,3 abc</w:t>
            </w:r>
          </w:p>
        </w:tc>
        <w:tc>
          <w:tcPr>
            <w:tcW w:w="993" w:type="dxa"/>
            <w:tcBorders>
              <w:top w:val="single" w:sz="18" w:space="0" w:color="auto"/>
              <w:left w:val="nil"/>
              <w:bottom w:val="nil"/>
              <w:right w:val="nil"/>
            </w:tcBorders>
            <w:noWrap/>
            <w:vAlign w:val="center"/>
            <w:hideMark/>
          </w:tcPr>
          <w:p w14:paraId="6F4F8EB4"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60,7 ab</w:t>
            </w:r>
          </w:p>
        </w:tc>
      </w:tr>
      <w:tr w:rsidR="007E78DD" w:rsidRPr="00B16E15" w14:paraId="665F29CC" w14:textId="77777777" w:rsidTr="00967B40">
        <w:trPr>
          <w:trHeight w:val="340"/>
          <w:jc w:val="center"/>
        </w:trPr>
        <w:tc>
          <w:tcPr>
            <w:tcW w:w="2552" w:type="dxa"/>
            <w:tcBorders>
              <w:top w:val="nil"/>
              <w:left w:val="nil"/>
              <w:bottom w:val="nil"/>
              <w:right w:val="nil"/>
            </w:tcBorders>
          </w:tcPr>
          <w:p w14:paraId="7989FBCB" w14:textId="67194452" w:rsidR="007E78DD" w:rsidRPr="00B16E15" w:rsidRDefault="007E78DD" w:rsidP="007E78DD">
            <w:pPr>
              <w:spacing w:after="0" w:line="360" w:lineRule="auto"/>
              <w:jc w:val="center"/>
              <w:rPr>
                <w:rFonts w:eastAsia="Times New Roman"/>
                <w:iCs/>
                <w:color w:val="000000"/>
                <w:sz w:val="20"/>
                <w:szCs w:val="20"/>
                <w:lang w:eastAsia="en-ID"/>
              </w:rPr>
            </w:pPr>
            <w:r w:rsidRPr="00B16E15">
              <w:rPr>
                <w:sz w:val="20"/>
                <w:szCs w:val="20"/>
              </w:rPr>
              <w:t>B1S2</w:t>
            </w:r>
          </w:p>
        </w:tc>
        <w:tc>
          <w:tcPr>
            <w:tcW w:w="993" w:type="dxa"/>
            <w:tcBorders>
              <w:top w:val="nil"/>
              <w:left w:val="nil"/>
              <w:bottom w:val="nil"/>
              <w:right w:val="nil"/>
            </w:tcBorders>
            <w:noWrap/>
            <w:vAlign w:val="center"/>
            <w:hideMark/>
          </w:tcPr>
          <w:p w14:paraId="3D8DA2AB"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20 b</w:t>
            </w:r>
          </w:p>
        </w:tc>
        <w:tc>
          <w:tcPr>
            <w:tcW w:w="992" w:type="dxa"/>
            <w:tcBorders>
              <w:top w:val="nil"/>
              <w:left w:val="nil"/>
              <w:bottom w:val="nil"/>
              <w:right w:val="nil"/>
            </w:tcBorders>
            <w:noWrap/>
            <w:vAlign w:val="center"/>
            <w:hideMark/>
          </w:tcPr>
          <w:p w14:paraId="7DA640C6"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14,7 a</w:t>
            </w:r>
          </w:p>
        </w:tc>
        <w:tc>
          <w:tcPr>
            <w:tcW w:w="992" w:type="dxa"/>
            <w:tcBorders>
              <w:top w:val="nil"/>
              <w:left w:val="nil"/>
              <w:bottom w:val="nil"/>
              <w:right w:val="nil"/>
            </w:tcBorders>
            <w:noWrap/>
            <w:vAlign w:val="center"/>
            <w:hideMark/>
          </w:tcPr>
          <w:p w14:paraId="6E0FF725"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33 ab</w:t>
            </w:r>
          </w:p>
        </w:tc>
        <w:tc>
          <w:tcPr>
            <w:tcW w:w="992" w:type="dxa"/>
            <w:tcBorders>
              <w:top w:val="nil"/>
              <w:left w:val="nil"/>
              <w:bottom w:val="nil"/>
              <w:right w:val="nil"/>
            </w:tcBorders>
            <w:noWrap/>
            <w:vAlign w:val="center"/>
            <w:hideMark/>
          </w:tcPr>
          <w:p w14:paraId="75893329"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43,2 abc</w:t>
            </w:r>
          </w:p>
        </w:tc>
        <w:tc>
          <w:tcPr>
            <w:tcW w:w="993" w:type="dxa"/>
            <w:tcBorders>
              <w:top w:val="nil"/>
              <w:left w:val="nil"/>
              <w:bottom w:val="nil"/>
              <w:right w:val="nil"/>
            </w:tcBorders>
            <w:noWrap/>
            <w:vAlign w:val="center"/>
            <w:hideMark/>
          </w:tcPr>
          <w:p w14:paraId="2B7C9B51"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62 ab</w:t>
            </w:r>
          </w:p>
        </w:tc>
      </w:tr>
      <w:tr w:rsidR="007E78DD" w:rsidRPr="00B16E15" w14:paraId="54C089B9" w14:textId="77777777" w:rsidTr="00967B40">
        <w:trPr>
          <w:trHeight w:val="340"/>
          <w:jc w:val="center"/>
        </w:trPr>
        <w:tc>
          <w:tcPr>
            <w:tcW w:w="2552" w:type="dxa"/>
            <w:tcBorders>
              <w:top w:val="nil"/>
              <w:left w:val="nil"/>
              <w:bottom w:val="nil"/>
              <w:right w:val="nil"/>
            </w:tcBorders>
          </w:tcPr>
          <w:p w14:paraId="6BD359DD" w14:textId="08FDF990" w:rsidR="007E78DD" w:rsidRPr="00B16E15" w:rsidRDefault="007E78DD" w:rsidP="007E78DD">
            <w:pPr>
              <w:spacing w:after="0" w:line="360" w:lineRule="auto"/>
              <w:jc w:val="center"/>
              <w:rPr>
                <w:rFonts w:eastAsia="Times New Roman"/>
                <w:iCs/>
                <w:color w:val="000000"/>
                <w:sz w:val="20"/>
                <w:szCs w:val="20"/>
                <w:lang w:eastAsia="en-ID"/>
              </w:rPr>
            </w:pPr>
            <w:r w:rsidRPr="00B16E15">
              <w:rPr>
                <w:sz w:val="20"/>
                <w:szCs w:val="20"/>
              </w:rPr>
              <w:t>B1S3</w:t>
            </w:r>
          </w:p>
        </w:tc>
        <w:tc>
          <w:tcPr>
            <w:tcW w:w="993" w:type="dxa"/>
            <w:tcBorders>
              <w:top w:val="nil"/>
              <w:left w:val="nil"/>
              <w:bottom w:val="nil"/>
              <w:right w:val="nil"/>
            </w:tcBorders>
            <w:noWrap/>
            <w:vAlign w:val="center"/>
            <w:hideMark/>
          </w:tcPr>
          <w:p w14:paraId="262B5C90"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18,3 ab</w:t>
            </w:r>
          </w:p>
        </w:tc>
        <w:tc>
          <w:tcPr>
            <w:tcW w:w="992" w:type="dxa"/>
            <w:tcBorders>
              <w:top w:val="nil"/>
              <w:left w:val="nil"/>
              <w:bottom w:val="nil"/>
              <w:right w:val="nil"/>
            </w:tcBorders>
            <w:noWrap/>
            <w:vAlign w:val="center"/>
            <w:hideMark/>
          </w:tcPr>
          <w:p w14:paraId="688ABBBA"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23,8 a</w:t>
            </w:r>
          </w:p>
        </w:tc>
        <w:tc>
          <w:tcPr>
            <w:tcW w:w="992" w:type="dxa"/>
            <w:tcBorders>
              <w:top w:val="nil"/>
              <w:left w:val="nil"/>
              <w:bottom w:val="nil"/>
              <w:right w:val="nil"/>
            </w:tcBorders>
            <w:noWrap/>
            <w:vAlign w:val="center"/>
            <w:hideMark/>
          </w:tcPr>
          <w:p w14:paraId="2D50D059"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31,7 ab</w:t>
            </w:r>
          </w:p>
        </w:tc>
        <w:tc>
          <w:tcPr>
            <w:tcW w:w="992" w:type="dxa"/>
            <w:tcBorders>
              <w:top w:val="nil"/>
              <w:left w:val="nil"/>
              <w:bottom w:val="nil"/>
              <w:right w:val="nil"/>
            </w:tcBorders>
            <w:noWrap/>
            <w:vAlign w:val="center"/>
            <w:hideMark/>
          </w:tcPr>
          <w:p w14:paraId="1055B0E4"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42 abc</w:t>
            </w:r>
          </w:p>
        </w:tc>
        <w:tc>
          <w:tcPr>
            <w:tcW w:w="993" w:type="dxa"/>
            <w:tcBorders>
              <w:top w:val="nil"/>
              <w:left w:val="nil"/>
              <w:bottom w:val="nil"/>
              <w:right w:val="nil"/>
            </w:tcBorders>
            <w:noWrap/>
            <w:vAlign w:val="center"/>
            <w:hideMark/>
          </w:tcPr>
          <w:p w14:paraId="426FC40A"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61,8 ab</w:t>
            </w:r>
          </w:p>
        </w:tc>
      </w:tr>
      <w:tr w:rsidR="007E78DD" w:rsidRPr="00B16E15" w14:paraId="3475308C" w14:textId="77777777" w:rsidTr="00967B40">
        <w:trPr>
          <w:trHeight w:val="340"/>
          <w:jc w:val="center"/>
        </w:trPr>
        <w:tc>
          <w:tcPr>
            <w:tcW w:w="2552" w:type="dxa"/>
            <w:tcBorders>
              <w:top w:val="nil"/>
              <w:left w:val="nil"/>
              <w:bottom w:val="nil"/>
              <w:right w:val="nil"/>
            </w:tcBorders>
          </w:tcPr>
          <w:p w14:paraId="79707318" w14:textId="65213AA6" w:rsidR="007E78DD" w:rsidRPr="00B16E15" w:rsidRDefault="007E78DD" w:rsidP="007E78DD">
            <w:pPr>
              <w:spacing w:after="0" w:line="360" w:lineRule="auto"/>
              <w:jc w:val="center"/>
              <w:rPr>
                <w:rFonts w:eastAsia="Times New Roman"/>
                <w:iCs/>
                <w:color w:val="000000"/>
                <w:sz w:val="20"/>
                <w:szCs w:val="20"/>
                <w:lang w:eastAsia="en-ID"/>
              </w:rPr>
            </w:pPr>
            <w:r w:rsidRPr="00B16E15">
              <w:rPr>
                <w:sz w:val="20"/>
                <w:szCs w:val="20"/>
              </w:rPr>
              <w:t>B2S1</w:t>
            </w:r>
          </w:p>
        </w:tc>
        <w:tc>
          <w:tcPr>
            <w:tcW w:w="993" w:type="dxa"/>
            <w:tcBorders>
              <w:top w:val="nil"/>
              <w:left w:val="nil"/>
              <w:bottom w:val="nil"/>
              <w:right w:val="nil"/>
            </w:tcBorders>
            <w:noWrap/>
            <w:vAlign w:val="center"/>
            <w:hideMark/>
          </w:tcPr>
          <w:p w14:paraId="69FC4758"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19,7 b</w:t>
            </w:r>
          </w:p>
        </w:tc>
        <w:tc>
          <w:tcPr>
            <w:tcW w:w="992" w:type="dxa"/>
            <w:tcBorders>
              <w:top w:val="nil"/>
              <w:left w:val="nil"/>
              <w:bottom w:val="nil"/>
              <w:right w:val="nil"/>
            </w:tcBorders>
            <w:noWrap/>
            <w:vAlign w:val="center"/>
            <w:hideMark/>
          </w:tcPr>
          <w:p w14:paraId="0E49DCE7"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24,3 a</w:t>
            </w:r>
          </w:p>
        </w:tc>
        <w:tc>
          <w:tcPr>
            <w:tcW w:w="992" w:type="dxa"/>
            <w:tcBorders>
              <w:top w:val="nil"/>
              <w:left w:val="nil"/>
              <w:bottom w:val="nil"/>
              <w:right w:val="nil"/>
            </w:tcBorders>
            <w:noWrap/>
            <w:vAlign w:val="center"/>
            <w:hideMark/>
          </w:tcPr>
          <w:p w14:paraId="42AC4CE7"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33,5 ab</w:t>
            </w:r>
          </w:p>
        </w:tc>
        <w:tc>
          <w:tcPr>
            <w:tcW w:w="992" w:type="dxa"/>
            <w:tcBorders>
              <w:top w:val="nil"/>
              <w:left w:val="nil"/>
              <w:bottom w:val="nil"/>
              <w:right w:val="nil"/>
            </w:tcBorders>
            <w:noWrap/>
            <w:vAlign w:val="center"/>
            <w:hideMark/>
          </w:tcPr>
          <w:p w14:paraId="670F2297"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44,7 bc</w:t>
            </w:r>
          </w:p>
        </w:tc>
        <w:tc>
          <w:tcPr>
            <w:tcW w:w="993" w:type="dxa"/>
            <w:tcBorders>
              <w:top w:val="nil"/>
              <w:left w:val="nil"/>
              <w:bottom w:val="nil"/>
              <w:right w:val="nil"/>
            </w:tcBorders>
            <w:noWrap/>
            <w:vAlign w:val="center"/>
            <w:hideMark/>
          </w:tcPr>
          <w:p w14:paraId="4AAEF18B"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64,7 bc</w:t>
            </w:r>
          </w:p>
        </w:tc>
      </w:tr>
      <w:tr w:rsidR="007E78DD" w:rsidRPr="00B16E15" w14:paraId="0D0C509D" w14:textId="77777777" w:rsidTr="00967B40">
        <w:trPr>
          <w:trHeight w:val="340"/>
          <w:jc w:val="center"/>
        </w:trPr>
        <w:tc>
          <w:tcPr>
            <w:tcW w:w="2552" w:type="dxa"/>
            <w:tcBorders>
              <w:top w:val="nil"/>
              <w:left w:val="nil"/>
              <w:bottom w:val="nil"/>
              <w:right w:val="nil"/>
            </w:tcBorders>
          </w:tcPr>
          <w:p w14:paraId="0ED4368A" w14:textId="465418BA" w:rsidR="007E78DD" w:rsidRPr="00B16E15" w:rsidRDefault="007E78DD" w:rsidP="007E78DD">
            <w:pPr>
              <w:spacing w:after="0" w:line="360" w:lineRule="auto"/>
              <w:jc w:val="center"/>
              <w:rPr>
                <w:rFonts w:eastAsia="Times New Roman"/>
                <w:iCs/>
                <w:color w:val="000000"/>
                <w:sz w:val="20"/>
                <w:szCs w:val="20"/>
                <w:lang w:eastAsia="en-ID"/>
              </w:rPr>
            </w:pPr>
            <w:r w:rsidRPr="00B16E15">
              <w:rPr>
                <w:sz w:val="20"/>
                <w:szCs w:val="20"/>
              </w:rPr>
              <w:t>B2S2</w:t>
            </w:r>
          </w:p>
        </w:tc>
        <w:tc>
          <w:tcPr>
            <w:tcW w:w="993" w:type="dxa"/>
            <w:tcBorders>
              <w:top w:val="nil"/>
              <w:left w:val="nil"/>
              <w:bottom w:val="nil"/>
              <w:right w:val="nil"/>
            </w:tcBorders>
            <w:noWrap/>
            <w:vAlign w:val="center"/>
            <w:hideMark/>
          </w:tcPr>
          <w:p w14:paraId="7E3D1123"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23,7 c</w:t>
            </w:r>
          </w:p>
        </w:tc>
        <w:tc>
          <w:tcPr>
            <w:tcW w:w="992" w:type="dxa"/>
            <w:tcBorders>
              <w:top w:val="nil"/>
              <w:left w:val="nil"/>
              <w:bottom w:val="nil"/>
              <w:right w:val="nil"/>
            </w:tcBorders>
            <w:noWrap/>
            <w:vAlign w:val="center"/>
            <w:hideMark/>
          </w:tcPr>
          <w:p w14:paraId="07C77716"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32 c</w:t>
            </w:r>
          </w:p>
        </w:tc>
        <w:tc>
          <w:tcPr>
            <w:tcW w:w="992" w:type="dxa"/>
            <w:tcBorders>
              <w:top w:val="nil"/>
              <w:left w:val="nil"/>
              <w:bottom w:val="nil"/>
              <w:right w:val="nil"/>
            </w:tcBorders>
            <w:noWrap/>
            <w:vAlign w:val="center"/>
            <w:hideMark/>
          </w:tcPr>
          <w:p w14:paraId="0A3034C7"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42,3 c</w:t>
            </w:r>
          </w:p>
        </w:tc>
        <w:tc>
          <w:tcPr>
            <w:tcW w:w="992" w:type="dxa"/>
            <w:tcBorders>
              <w:top w:val="nil"/>
              <w:left w:val="nil"/>
              <w:bottom w:val="nil"/>
              <w:right w:val="nil"/>
            </w:tcBorders>
            <w:noWrap/>
            <w:vAlign w:val="center"/>
            <w:hideMark/>
          </w:tcPr>
          <w:p w14:paraId="76656917"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52 d</w:t>
            </w:r>
          </w:p>
        </w:tc>
        <w:tc>
          <w:tcPr>
            <w:tcW w:w="993" w:type="dxa"/>
            <w:tcBorders>
              <w:top w:val="nil"/>
              <w:left w:val="nil"/>
              <w:bottom w:val="nil"/>
              <w:right w:val="nil"/>
            </w:tcBorders>
            <w:noWrap/>
            <w:vAlign w:val="center"/>
            <w:hideMark/>
          </w:tcPr>
          <w:p w14:paraId="2B7D9D67"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71,8 d</w:t>
            </w:r>
          </w:p>
        </w:tc>
      </w:tr>
      <w:tr w:rsidR="007E78DD" w:rsidRPr="00B16E15" w14:paraId="78FC6E95" w14:textId="77777777" w:rsidTr="00967B40">
        <w:trPr>
          <w:trHeight w:val="340"/>
          <w:jc w:val="center"/>
        </w:trPr>
        <w:tc>
          <w:tcPr>
            <w:tcW w:w="2552" w:type="dxa"/>
            <w:tcBorders>
              <w:top w:val="nil"/>
              <w:left w:val="nil"/>
              <w:bottom w:val="nil"/>
              <w:right w:val="nil"/>
            </w:tcBorders>
          </w:tcPr>
          <w:p w14:paraId="2C7D427F" w14:textId="383110EF" w:rsidR="007E78DD" w:rsidRPr="00B16E15" w:rsidRDefault="007E78DD" w:rsidP="007E78DD">
            <w:pPr>
              <w:spacing w:after="0" w:line="360" w:lineRule="auto"/>
              <w:jc w:val="center"/>
              <w:rPr>
                <w:rFonts w:eastAsia="Times New Roman"/>
                <w:iCs/>
                <w:color w:val="000000"/>
                <w:sz w:val="20"/>
                <w:szCs w:val="20"/>
                <w:lang w:eastAsia="en-ID"/>
              </w:rPr>
            </w:pPr>
            <w:r w:rsidRPr="00B16E15">
              <w:rPr>
                <w:sz w:val="20"/>
                <w:szCs w:val="20"/>
              </w:rPr>
              <w:t>B2S3</w:t>
            </w:r>
          </w:p>
        </w:tc>
        <w:tc>
          <w:tcPr>
            <w:tcW w:w="993" w:type="dxa"/>
            <w:tcBorders>
              <w:top w:val="nil"/>
              <w:left w:val="nil"/>
              <w:bottom w:val="nil"/>
              <w:right w:val="nil"/>
            </w:tcBorders>
            <w:noWrap/>
            <w:vAlign w:val="center"/>
            <w:hideMark/>
          </w:tcPr>
          <w:p w14:paraId="5C6CC319"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20,7 bc</w:t>
            </w:r>
          </w:p>
        </w:tc>
        <w:tc>
          <w:tcPr>
            <w:tcW w:w="992" w:type="dxa"/>
            <w:tcBorders>
              <w:top w:val="nil"/>
              <w:left w:val="nil"/>
              <w:bottom w:val="nil"/>
              <w:right w:val="nil"/>
            </w:tcBorders>
            <w:noWrap/>
            <w:vAlign w:val="center"/>
            <w:hideMark/>
          </w:tcPr>
          <w:p w14:paraId="5385826D"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27,7 b</w:t>
            </w:r>
          </w:p>
        </w:tc>
        <w:tc>
          <w:tcPr>
            <w:tcW w:w="992" w:type="dxa"/>
            <w:tcBorders>
              <w:top w:val="nil"/>
              <w:left w:val="nil"/>
              <w:bottom w:val="nil"/>
              <w:right w:val="nil"/>
            </w:tcBorders>
            <w:noWrap/>
            <w:vAlign w:val="center"/>
            <w:hideMark/>
          </w:tcPr>
          <w:p w14:paraId="43E98276"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35,8 b</w:t>
            </w:r>
          </w:p>
        </w:tc>
        <w:tc>
          <w:tcPr>
            <w:tcW w:w="992" w:type="dxa"/>
            <w:tcBorders>
              <w:top w:val="nil"/>
              <w:left w:val="nil"/>
              <w:bottom w:val="nil"/>
              <w:right w:val="nil"/>
            </w:tcBorders>
            <w:noWrap/>
            <w:vAlign w:val="center"/>
            <w:hideMark/>
          </w:tcPr>
          <w:p w14:paraId="703ED429"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46,5 c</w:t>
            </w:r>
          </w:p>
        </w:tc>
        <w:tc>
          <w:tcPr>
            <w:tcW w:w="993" w:type="dxa"/>
            <w:tcBorders>
              <w:top w:val="nil"/>
              <w:left w:val="nil"/>
              <w:bottom w:val="nil"/>
              <w:right w:val="nil"/>
            </w:tcBorders>
            <w:noWrap/>
            <w:vAlign w:val="center"/>
            <w:hideMark/>
          </w:tcPr>
          <w:p w14:paraId="355E2D4B"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67,2 cd</w:t>
            </w:r>
          </w:p>
        </w:tc>
      </w:tr>
      <w:tr w:rsidR="007E78DD" w:rsidRPr="00B16E15" w14:paraId="71CF2C8F" w14:textId="77777777" w:rsidTr="00967B40">
        <w:trPr>
          <w:trHeight w:val="340"/>
          <w:jc w:val="center"/>
        </w:trPr>
        <w:tc>
          <w:tcPr>
            <w:tcW w:w="2552" w:type="dxa"/>
            <w:tcBorders>
              <w:top w:val="nil"/>
              <w:left w:val="nil"/>
              <w:bottom w:val="nil"/>
              <w:right w:val="nil"/>
            </w:tcBorders>
          </w:tcPr>
          <w:p w14:paraId="072B5041" w14:textId="78B3E7FA" w:rsidR="007E78DD" w:rsidRPr="00B16E15" w:rsidRDefault="007E78DD" w:rsidP="007E78DD">
            <w:pPr>
              <w:spacing w:after="0" w:line="360" w:lineRule="auto"/>
              <w:jc w:val="center"/>
              <w:rPr>
                <w:rFonts w:eastAsia="Times New Roman"/>
                <w:iCs/>
                <w:color w:val="000000"/>
                <w:sz w:val="20"/>
                <w:szCs w:val="20"/>
                <w:lang w:eastAsia="en-ID"/>
              </w:rPr>
            </w:pPr>
            <w:r w:rsidRPr="00B16E15">
              <w:rPr>
                <w:sz w:val="20"/>
                <w:szCs w:val="20"/>
              </w:rPr>
              <w:t>B3S1</w:t>
            </w:r>
          </w:p>
        </w:tc>
        <w:tc>
          <w:tcPr>
            <w:tcW w:w="993" w:type="dxa"/>
            <w:tcBorders>
              <w:top w:val="nil"/>
              <w:left w:val="nil"/>
              <w:bottom w:val="nil"/>
              <w:right w:val="nil"/>
            </w:tcBorders>
            <w:noWrap/>
            <w:vAlign w:val="center"/>
            <w:hideMark/>
          </w:tcPr>
          <w:p w14:paraId="23B2867C"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17,7 ab</w:t>
            </w:r>
          </w:p>
        </w:tc>
        <w:tc>
          <w:tcPr>
            <w:tcW w:w="992" w:type="dxa"/>
            <w:tcBorders>
              <w:top w:val="nil"/>
              <w:left w:val="nil"/>
              <w:bottom w:val="nil"/>
              <w:right w:val="nil"/>
            </w:tcBorders>
            <w:noWrap/>
            <w:vAlign w:val="center"/>
            <w:hideMark/>
          </w:tcPr>
          <w:p w14:paraId="12DE17B8"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23,8</w:t>
            </w:r>
          </w:p>
        </w:tc>
        <w:tc>
          <w:tcPr>
            <w:tcW w:w="992" w:type="dxa"/>
            <w:tcBorders>
              <w:top w:val="nil"/>
              <w:left w:val="nil"/>
              <w:bottom w:val="nil"/>
              <w:right w:val="nil"/>
            </w:tcBorders>
            <w:noWrap/>
            <w:vAlign w:val="center"/>
            <w:hideMark/>
          </w:tcPr>
          <w:p w14:paraId="6D40AB0F"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30,5 a</w:t>
            </w:r>
          </w:p>
        </w:tc>
        <w:tc>
          <w:tcPr>
            <w:tcW w:w="992" w:type="dxa"/>
            <w:tcBorders>
              <w:top w:val="nil"/>
              <w:left w:val="nil"/>
              <w:bottom w:val="nil"/>
              <w:right w:val="nil"/>
            </w:tcBorders>
            <w:noWrap/>
            <w:vAlign w:val="center"/>
            <w:hideMark/>
          </w:tcPr>
          <w:p w14:paraId="64EF47A6"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40,2 ab</w:t>
            </w:r>
          </w:p>
        </w:tc>
        <w:tc>
          <w:tcPr>
            <w:tcW w:w="993" w:type="dxa"/>
            <w:tcBorders>
              <w:top w:val="nil"/>
              <w:left w:val="nil"/>
              <w:bottom w:val="nil"/>
              <w:right w:val="nil"/>
            </w:tcBorders>
            <w:noWrap/>
            <w:vAlign w:val="center"/>
            <w:hideMark/>
          </w:tcPr>
          <w:p w14:paraId="4A9C860B"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60,2 ab</w:t>
            </w:r>
          </w:p>
        </w:tc>
      </w:tr>
      <w:tr w:rsidR="007E78DD" w:rsidRPr="00B16E15" w14:paraId="1FE23979" w14:textId="77777777" w:rsidTr="00967B40">
        <w:trPr>
          <w:trHeight w:val="340"/>
          <w:jc w:val="center"/>
        </w:trPr>
        <w:tc>
          <w:tcPr>
            <w:tcW w:w="2552" w:type="dxa"/>
            <w:tcBorders>
              <w:top w:val="nil"/>
              <w:left w:val="nil"/>
              <w:bottom w:val="nil"/>
              <w:right w:val="nil"/>
            </w:tcBorders>
          </w:tcPr>
          <w:p w14:paraId="33ED5E9D" w14:textId="65FE5E35" w:rsidR="007E78DD" w:rsidRPr="00B16E15" w:rsidRDefault="007E78DD" w:rsidP="007E78DD">
            <w:pPr>
              <w:spacing w:after="0" w:line="360" w:lineRule="auto"/>
              <w:jc w:val="center"/>
              <w:rPr>
                <w:rFonts w:eastAsia="Times New Roman"/>
                <w:iCs/>
                <w:color w:val="000000"/>
                <w:sz w:val="20"/>
                <w:szCs w:val="20"/>
                <w:lang w:eastAsia="en-ID"/>
              </w:rPr>
            </w:pPr>
            <w:r w:rsidRPr="00B16E15">
              <w:rPr>
                <w:sz w:val="20"/>
                <w:szCs w:val="20"/>
              </w:rPr>
              <w:t>B3S2</w:t>
            </w:r>
          </w:p>
        </w:tc>
        <w:tc>
          <w:tcPr>
            <w:tcW w:w="993" w:type="dxa"/>
            <w:tcBorders>
              <w:top w:val="nil"/>
              <w:left w:val="nil"/>
              <w:bottom w:val="nil"/>
              <w:right w:val="nil"/>
            </w:tcBorders>
            <w:noWrap/>
            <w:vAlign w:val="center"/>
            <w:hideMark/>
          </w:tcPr>
          <w:p w14:paraId="34537FD5"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15,3 a</w:t>
            </w:r>
          </w:p>
        </w:tc>
        <w:tc>
          <w:tcPr>
            <w:tcW w:w="992" w:type="dxa"/>
            <w:tcBorders>
              <w:top w:val="nil"/>
              <w:left w:val="nil"/>
              <w:bottom w:val="nil"/>
              <w:right w:val="nil"/>
            </w:tcBorders>
            <w:noWrap/>
            <w:vAlign w:val="center"/>
            <w:hideMark/>
          </w:tcPr>
          <w:p w14:paraId="025BDD35"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23,5 a</w:t>
            </w:r>
          </w:p>
        </w:tc>
        <w:tc>
          <w:tcPr>
            <w:tcW w:w="992" w:type="dxa"/>
            <w:tcBorders>
              <w:top w:val="nil"/>
              <w:left w:val="nil"/>
              <w:bottom w:val="nil"/>
              <w:right w:val="nil"/>
            </w:tcBorders>
            <w:noWrap/>
            <w:vAlign w:val="center"/>
            <w:hideMark/>
          </w:tcPr>
          <w:p w14:paraId="1941F107"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28,7 a</w:t>
            </w:r>
          </w:p>
        </w:tc>
        <w:tc>
          <w:tcPr>
            <w:tcW w:w="992" w:type="dxa"/>
            <w:tcBorders>
              <w:top w:val="nil"/>
              <w:left w:val="nil"/>
              <w:bottom w:val="nil"/>
              <w:right w:val="nil"/>
            </w:tcBorders>
            <w:noWrap/>
            <w:vAlign w:val="center"/>
            <w:hideMark/>
          </w:tcPr>
          <w:p w14:paraId="11C86AEC"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39,5 a</w:t>
            </w:r>
          </w:p>
        </w:tc>
        <w:tc>
          <w:tcPr>
            <w:tcW w:w="993" w:type="dxa"/>
            <w:tcBorders>
              <w:top w:val="nil"/>
              <w:left w:val="nil"/>
              <w:bottom w:val="nil"/>
              <w:right w:val="nil"/>
            </w:tcBorders>
            <w:noWrap/>
            <w:vAlign w:val="center"/>
            <w:hideMark/>
          </w:tcPr>
          <w:p w14:paraId="50BA8DE4"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59,2 a</w:t>
            </w:r>
          </w:p>
        </w:tc>
      </w:tr>
      <w:tr w:rsidR="007E78DD" w:rsidRPr="00B16E15" w14:paraId="15992DBE" w14:textId="77777777" w:rsidTr="00967B40">
        <w:trPr>
          <w:trHeight w:val="340"/>
          <w:jc w:val="center"/>
        </w:trPr>
        <w:tc>
          <w:tcPr>
            <w:tcW w:w="2552" w:type="dxa"/>
            <w:tcBorders>
              <w:top w:val="nil"/>
              <w:left w:val="nil"/>
              <w:bottom w:val="single" w:sz="18" w:space="0" w:color="auto"/>
              <w:right w:val="nil"/>
            </w:tcBorders>
          </w:tcPr>
          <w:p w14:paraId="44C3A209" w14:textId="0EA9602C" w:rsidR="007E78DD" w:rsidRPr="00B16E15" w:rsidRDefault="007E78DD" w:rsidP="007E78DD">
            <w:pPr>
              <w:spacing w:after="0" w:line="360" w:lineRule="auto"/>
              <w:jc w:val="center"/>
              <w:rPr>
                <w:rFonts w:eastAsia="Times New Roman"/>
                <w:iCs/>
                <w:color w:val="000000"/>
                <w:sz w:val="20"/>
                <w:szCs w:val="20"/>
                <w:lang w:eastAsia="en-ID"/>
              </w:rPr>
            </w:pPr>
            <w:r w:rsidRPr="00B16E15">
              <w:rPr>
                <w:sz w:val="20"/>
                <w:szCs w:val="20"/>
              </w:rPr>
              <w:t>B3S3</w:t>
            </w:r>
          </w:p>
        </w:tc>
        <w:tc>
          <w:tcPr>
            <w:tcW w:w="993" w:type="dxa"/>
            <w:tcBorders>
              <w:top w:val="nil"/>
              <w:left w:val="nil"/>
              <w:bottom w:val="single" w:sz="18" w:space="0" w:color="auto"/>
              <w:right w:val="nil"/>
            </w:tcBorders>
            <w:noWrap/>
            <w:vAlign w:val="center"/>
            <w:hideMark/>
          </w:tcPr>
          <w:p w14:paraId="202C0D43"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17,3 ab</w:t>
            </w:r>
          </w:p>
        </w:tc>
        <w:tc>
          <w:tcPr>
            <w:tcW w:w="992" w:type="dxa"/>
            <w:tcBorders>
              <w:top w:val="nil"/>
              <w:left w:val="nil"/>
              <w:bottom w:val="single" w:sz="18" w:space="0" w:color="auto"/>
              <w:right w:val="nil"/>
            </w:tcBorders>
            <w:noWrap/>
            <w:vAlign w:val="center"/>
            <w:hideMark/>
          </w:tcPr>
          <w:p w14:paraId="55057C96"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23,5 a</w:t>
            </w:r>
          </w:p>
        </w:tc>
        <w:tc>
          <w:tcPr>
            <w:tcW w:w="992" w:type="dxa"/>
            <w:tcBorders>
              <w:top w:val="nil"/>
              <w:left w:val="nil"/>
              <w:bottom w:val="single" w:sz="18" w:space="0" w:color="auto"/>
              <w:right w:val="nil"/>
            </w:tcBorders>
            <w:noWrap/>
            <w:vAlign w:val="center"/>
            <w:hideMark/>
          </w:tcPr>
          <w:p w14:paraId="4E8957A4"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30,2 a</w:t>
            </w:r>
          </w:p>
        </w:tc>
        <w:tc>
          <w:tcPr>
            <w:tcW w:w="992" w:type="dxa"/>
            <w:tcBorders>
              <w:top w:val="nil"/>
              <w:left w:val="nil"/>
              <w:bottom w:val="single" w:sz="18" w:space="0" w:color="auto"/>
              <w:right w:val="nil"/>
            </w:tcBorders>
            <w:noWrap/>
            <w:vAlign w:val="center"/>
            <w:hideMark/>
          </w:tcPr>
          <w:p w14:paraId="05F3FD8E"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40 ab</w:t>
            </w:r>
          </w:p>
        </w:tc>
        <w:tc>
          <w:tcPr>
            <w:tcW w:w="993" w:type="dxa"/>
            <w:tcBorders>
              <w:top w:val="nil"/>
              <w:left w:val="nil"/>
              <w:bottom w:val="single" w:sz="18" w:space="0" w:color="auto"/>
              <w:right w:val="nil"/>
            </w:tcBorders>
            <w:noWrap/>
            <w:vAlign w:val="center"/>
            <w:hideMark/>
          </w:tcPr>
          <w:p w14:paraId="7C52F54B"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60,3 ab</w:t>
            </w:r>
          </w:p>
        </w:tc>
      </w:tr>
    </w:tbl>
    <w:p w14:paraId="62EEAF39" w14:textId="77777777" w:rsidR="004930D7" w:rsidRDefault="004930D7" w:rsidP="004930D7">
      <w:pPr>
        <w:tabs>
          <w:tab w:val="left" w:pos="450"/>
        </w:tabs>
        <w:snapToGrid w:val="0"/>
        <w:spacing w:after="0"/>
        <w:ind w:left="426"/>
        <w:rPr>
          <w:rFonts w:ascii="Cambria" w:hAnsi="Cambria"/>
          <w:kern w:val="2"/>
          <w:sz w:val="24"/>
        </w:rPr>
      </w:pPr>
      <w:r>
        <w:rPr>
          <w:rFonts w:ascii="Cambria" w:hAnsi="Cambria"/>
          <w:kern w:val="2"/>
          <w:sz w:val="24"/>
        </w:rPr>
        <w:tab/>
      </w:r>
    </w:p>
    <w:p w14:paraId="67300AD2" w14:textId="77777777" w:rsidR="0019351E" w:rsidRDefault="0019351E" w:rsidP="0019351E">
      <w:pPr>
        <w:tabs>
          <w:tab w:val="left" w:pos="450"/>
        </w:tabs>
        <w:spacing w:after="0"/>
        <w:ind w:left="426"/>
        <w:rPr>
          <w:rFonts w:ascii="Cambria" w:hAnsi="Cambria"/>
          <w:bCs/>
          <w:kern w:val="2"/>
          <w:sz w:val="24"/>
        </w:rPr>
      </w:pPr>
      <w:r>
        <w:rPr>
          <w:rFonts w:ascii="Cambria" w:hAnsi="Cambria"/>
          <w:bCs/>
          <w:kern w:val="2"/>
          <w:sz w:val="24"/>
        </w:rPr>
        <w:t>Note:</w:t>
      </w:r>
    </w:p>
    <w:p w14:paraId="391BF5DA" w14:textId="77777777" w:rsidR="0019351E" w:rsidRDefault="0019351E" w:rsidP="0019351E">
      <w:pPr>
        <w:pStyle w:val="ListParagraph"/>
        <w:numPr>
          <w:ilvl w:val="0"/>
          <w:numId w:val="6"/>
        </w:numPr>
        <w:tabs>
          <w:tab w:val="left" w:pos="450"/>
        </w:tabs>
        <w:spacing w:after="0"/>
        <w:rPr>
          <w:rFonts w:ascii="Cambria" w:hAnsi="Cambria"/>
          <w:sz w:val="24"/>
        </w:rPr>
      </w:pPr>
      <w:r>
        <w:rPr>
          <w:rFonts w:ascii="Cambria" w:hAnsi="Cambria"/>
          <w:sz w:val="24"/>
        </w:rPr>
        <w:t>WAP = Weeks After Planting</w:t>
      </w:r>
    </w:p>
    <w:p w14:paraId="00B384B1" w14:textId="77777777" w:rsidR="0019351E" w:rsidRPr="009A3F8F" w:rsidRDefault="0019351E" w:rsidP="0019351E">
      <w:pPr>
        <w:pStyle w:val="ListParagraph"/>
        <w:numPr>
          <w:ilvl w:val="0"/>
          <w:numId w:val="6"/>
        </w:numPr>
        <w:tabs>
          <w:tab w:val="left" w:pos="450"/>
        </w:tabs>
        <w:spacing w:after="0"/>
        <w:rPr>
          <w:rFonts w:ascii="Cambria" w:hAnsi="Cambria"/>
          <w:sz w:val="24"/>
        </w:rPr>
      </w:pPr>
      <w:r w:rsidRPr="00CC082C">
        <w:rPr>
          <w:rFonts w:ascii="Cambria" w:hAnsi="Cambria"/>
          <w:sz w:val="24"/>
        </w:rPr>
        <w:t>B</w:t>
      </w:r>
      <w:r>
        <w:rPr>
          <w:rFonts w:ascii="Cambria" w:hAnsi="Cambria"/>
          <w:sz w:val="24"/>
        </w:rPr>
        <w:t xml:space="preserve">1 - B3 = </w:t>
      </w:r>
      <w:r w:rsidRPr="00CC082C">
        <w:rPr>
          <w:rFonts w:ascii="Cambria" w:hAnsi="Cambria"/>
          <w:sz w:val="24"/>
        </w:rPr>
        <w:t xml:space="preserve">liquid organic fertilizer </w:t>
      </w:r>
      <w:r w:rsidRPr="0019351E">
        <w:rPr>
          <w:rFonts w:ascii="Cambria" w:hAnsi="Cambria"/>
          <w:sz w:val="24"/>
          <w:lang w:val="en-GB"/>
        </w:rPr>
        <w:t>dosage levels</w:t>
      </w:r>
    </w:p>
    <w:p w14:paraId="01F61B46" w14:textId="77777777" w:rsidR="0019351E" w:rsidRDefault="0019351E" w:rsidP="0019351E">
      <w:pPr>
        <w:pStyle w:val="ListParagraph"/>
        <w:numPr>
          <w:ilvl w:val="0"/>
          <w:numId w:val="6"/>
        </w:numPr>
        <w:tabs>
          <w:tab w:val="left" w:pos="450"/>
        </w:tabs>
        <w:spacing w:after="0"/>
        <w:rPr>
          <w:rFonts w:ascii="Cambria" w:hAnsi="Cambria"/>
          <w:sz w:val="24"/>
        </w:rPr>
      </w:pPr>
      <w:r>
        <w:rPr>
          <w:rFonts w:ascii="Cambria" w:hAnsi="Cambria"/>
          <w:sz w:val="24"/>
        </w:rPr>
        <w:t xml:space="preserve">S1 - S3 = </w:t>
      </w:r>
      <w:r w:rsidRPr="00CC082C">
        <w:rPr>
          <w:rFonts w:ascii="Cambria" w:hAnsi="Cambria"/>
          <w:sz w:val="24"/>
        </w:rPr>
        <w:t>NPK fertilizer</w:t>
      </w:r>
      <w:r>
        <w:rPr>
          <w:rFonts w:ascii="Cambria" w:hAnsi="Cambria"/>
          <w:sz w:val="24"/>
        </w:rPr>
        <w:t xml:space="preserve"> </w:t>
      </w:r>
      <w:r w:rsidRPr="0019351E">
        <w:rPr>
          <w:rFonts w:ascii="Cambria" w:hAnsi="Cambria"/>
          <w:sz w:val="24"/>
          <w:lang w:val="en-GB"/>
        </w:rPr>
        <w:t>dosage levels</w:t>
      </w:r>
    </w:p>
    <w:p w14:paraId="68E7F4CB" w14:textId="77777777" w:rsidR="00A3531E" w:rsidRDefault="0019351E" w:rsidP="00A3531E">
      <w:pPr>
        <w:pStyle w:val="ListParagraph"/>
        <w:numPr>
          <w:ilvl w:val="0"/>
          <w:numId w:val="6"/>
        </w:numPr>
        <w:tabs>
          <w:tab w:val="left" w:pos="450"/>
        </w:tabs>
        <w:spacing w:after="0"/>
        <w:rPr>
          <w:rFonts w:ascii="Cambria" w:hAnsi="Cambria"/>
          <w:sz w:val="24"/>
        </w:rPr>
      </w:pPr>
      <w:r>
        <w:rPr>
          <w:rFonts w:ascii="Cambria" w:hAnsi="Cambria"/>
          <w:sz w:val="24"/>
        </w:rPr>
        <w:t>a, ab, bc, c = different lowercase letters</w:t>
      </w:r>
    </w:p>
    <w:p w14:paraId="6B5AE462" w14:textId="77777777" w:rsidR="00A3531E" w:rsidRDefault="00A3531E" w:rsidP="00A3531E">
      <w:pPr>
        <w:tabs>
          <w:tab w:val="left" w:pos="450"/>
        </w:tabs>
        <w:spacing w:after="0"/>
        <w:ind w:left="426"/>
        <w:rPr>
          <w:rFonts w:ascii="Cambria" w:hAnsi="Cambria"/>
          <w:kern w:val="2"/>
          <w:sz w:val="24"/>
          <w:lang w:val="en-ID"/>
        </w:rPr>
      </w:pPr>
    </w:p>
    <w:p w14:paraId="15346943" w14:textId="77777777" w:rsidR="00A3531E" w:rsidRDefault="00A3531E" w:rsidP="00A3531E">
      <w:pPr>
        <w:tabs>
          <w:tab w:val="left" w:pos="450"/>
        </w:tabs>
        <w:spacing w:after="0"/>
        <w:ind w:left="426"/>
        <w:rPr>
          <w:rFonts w:ascii="Cambria" w:hAnsi="Cambria"/>
          <w:sz w:val="24"/>
        </w:rPr>
      </w:pPr>
      <w:r>
        <w:rPr>
          <w:rFonts w:ascii="Cambria" w:hAnsi="Cambria"/>
          <w:kern w:val="2"/>
          <w:sz w:val="24"/>
          <w:lang w:val="en-ID"/>
        </w:rPr>
        <w:tab/>
      </w:r>
      <w:r>
        <w:rPr>
          <w:rFonts w:ascii="Cambria" w:hAnsi="Cambria"/>
          <w:kern w:val="2"/>
          <w:sz w:val="24"/>
          <w:lang w:val="en-ID"/>
        </w:rPr>
        <w:tab/>
      </w:r>
      <w:r w:rsidR="004930D7" w:rsidRPr="00A3531E">
        <w:rPr>
          <w:rFonts w:ascii="Cambria" w:hAnsi="Cambria"/>
          <w:kern w:val="2"/>
          <w:sz w:val="24"/>
          <w:lang w:val="en-ID"/>
        </w:rPr>
        <w:t xml:space="preserve">The B2S2 treatment produced the highest mean stem diameter throughout the observation period, reaching 23.7 mm at one WAP, 32 mm at two WAP, 42.3 mm at three WAP, 52 mm at four WAP, and 71.8 mm at five WAP. The consistently superior response observed under this treatment suggests that the optimum combination of bionanofertilizer concentration and NPK fertilizer dosage effectively supported stem development during both the early and later stages of vegetative growth. Stem diameter is an important agronomic parameter because it reflects plant vigor, mechanical strength, and the efficiency of nutrient translocation within plant tissues. Soybean plants with larger stem diameters generally exhibit improved assimilate distribution and greater tolerance to environmental stresses, thereby contributing positively to overall plant productivity. </w:t>
      </w:r>
    </w:p>
    <w:p w14:paraId="78E8E04B" w14:textId="77777777" w:rsidR="00A3531E" w:rsidRDefault="00A3531E" w:rsidP="00A3531E">
      <w:pPr>
        <w:tabs>
          <w:tab w:val="left" w:pos="450"/>
        </w:tabs>
        <w:spacing w:after="0"/>
        <w:ind w:left="426"/>
        <w:rPr>
          <w:rFonts w:ascii="Cambria" w:hAnsi="Cambria"/>
          <w:sz w:val="24"/>
        </w:rPr>
      </w:pPr>
      <w:r>
        <w:rPr>
          <w:rFonts w:ascii="Cambria" w:hAnsi="Cambria"/>
          <w:sz w:val="24"/>
        </w:rPr>
        <w:tab/>
      </w:r>
      <w:r>
        <w:rPr>
          <w:rFonts w:ascii="Cambria" w:hAnsi="Cambria"/>
          <w:sz w:val="24"/>
        </w:rPr>
        <w:tab/>
      </w:r>
      <w:r w:rsidR="004930D7" w:rsidRPr="00AC4435">
        <w:rPr>
          <w:rFonts w:ascii="Cambria" w:hAnsi="Cambria"/>
          <w:kern w:val="2"/>
          <w:sz w:val="24"/>
          <w:lang w:val="en-ID"/>
        </w:rPr>
        <w:t>The increased stem diameter observed in this study is closely associated with the balanced availability of essential macronutrients supplied by NPK fertilizer. Nitrogen is required for protein synthesis and chlorophyll formation, phosphorus is involved in cellular energy transfer and root development, whereas potassium plays a vital role in regulating enzymatic activities and water balance within plant tissues. The synergistic</w:t>
      </w:r>
      <w:r w:rsidR="009120F0">
        <w:rPr>
          <w:rFonts w:ascii="Cambria" w:hAnsi="Cambria"/>
          <w:kern w:val="2"/>
          <w:sz w:val="24"/>
          <w:lang w:val="en-ID"/>
        </w:rPr>
        <w:t xml:space="preserve"> </w:t>
      </w:r>
      <w:r w:rsidR="004930D7" w:rsidRPr="00AC4435">
        <w:rPr>
          <w:rFonts w:ascii="Cambria" w:hAnsi="Cambria"/>
          <w:kern w:val="2"/>
          <w:sz w:val="24"/>
          <w:lang w:val="en-ID"/>
        </w:rPr>
        <w:t xml:space="preserve">interaction among these nutrients promotes cell expansion and tissue differentiation processes that directly contribute to stem thickening during vegetative growth </w:t>
      </w:r>
      <w:r w:rsidR="00C55C16">
        <w:rPr>
          <w:rFonts w:ascii="Cambria" w:hAnsi="Cambria"/>
          <w:kern w:val="2"/>
          <w:sz w:val="24"/>
          <w:lang w:val="en-ID"/>
        </w:rPr>
        <w:fldChar w:fldCharType="begin"/>
      </w:r>
      <w:r w:rsidR="00C55C16">
        <w:rPr>
          <w:rFonts w:ascii="Cambria" w:hAnsi="Cambria"/>
          <w:kern w:val="2"/>
          <w:sz w:val="24"/>
          <w:lang w:val="en-ID"/>
        </w:rPr>
        <w:instrText xml:space="preserve"> ADDIN ZOTERO_ITEM CSL_CITATION {"citationID":"r3OMWPwZ","properties":{"unsorted":false,"formattedCitation":"(Hao et al., 2023)","plainCitation":"(Hao et al., 2023)","noteIndex":0},"citationItems":[{"id":383,"uris":["http://zotero.org/users/local/jSzQgGyj/items/H2P8UEME"],"itemData":{"id":383,"type":"article-journal","container-title":"The Crop Journal","DOI":"10.1016/j.cj.2023.06.003","ISSN":"22145141","issue":"4","journalAbbreviation":"The Crop Journal","language":"en","page":"1034-1047","source":"DOI.org (Crossref)","title":"Phosphorylation regulation of nitrogen, phosphorus, and potassium uptake systems in plants","volume":"11","author":[{"family":"Hao","given":"Dongli"},{"family":"Li","given":"Xiaohui"},{"family":"Kong","given":"Weiyi"},{"family":"Chen","given":"Rongrong"},{"family":"Liu","given":"Jianxiu"},{"family":"Guo","given":"Hailin"},{"family":"Zhou","given":"Jinyan"}],"issued":{"date-parts":[["2023",8]]}}}],"schema":"https://github.com/citation-style-language/schema/raw/master/csl-citation.json"} </w:instrText>
      </w:r>
      <w:r w:rsidR="00C55C16">
        <w:rPr>
          <w:rFonts w:ascii="Cambria" w:hAnsi="Cambria"/>
          <w:kern w:val="2"/>
          <w:sz w:val="24"/>
          <w:lang w:val="en-ID"/>
        </w:rPr>
        <w:fldChar w:fldCharType="separate"/>
      </w:r>
      <w:r w:rsidR="00C55C16" w:rsidRPr="00C55C16">
        <w:rPr>
          <w:rFonts w:ascii="Cambria" w:hAnsi="Cambria"/>
          <w:sz w:val="24"/>
          <w:lang w:val="en-ID"/>
        </w:rPr>
        <w:t>(Hao et al., 2023)</w:t>
      </w:r>
      <w:r w:rsidR="00C55C16">
        <w:rPr>
          <w:rFonts w:ascii="Cambria" w:hAnsi="Cambria"/>
          <w:kern w:val="2"/>
          <w:sz w:val="24"/>
          <w:lang w:val="en-ID"/>
        </w:rPr>
        <w:fldChar w:fldCharType="end"/>
      </w:r>
      <w:r w:rsidR="00C55C16">
        <w:rPr>
          <w:rFonts w:ascii="Cambria" w:hAnsi="Cambria"/>
          <w:kern w:val="2"/>
          <w:sz w:val="24"/>
          <w:lang w:val="en-ID"/>
        </w:rPr>
        <w:t>.</w:t>
      </w:r>
    </w:p>
    <w:p w14:paraId="2E4681D3" w14:textId="77777777" w:rsidR="00F8301A" w:rsidRDefault="00A3531E" w:rsidP="00F8301A">
      <w:pPr>
        <w:spacing w:after="0"/>
        <w:ind w:left="426"/>
        <w:rPr>
          <w:rFonts w:ascii="Cambria" w:hAnsi="Cambria"/>
          <w:sz w:val="24"/>
        </w:rPr>
      </w:pPr>
      <w:r>
        <w:rPr>
          <w:rFonts w:ascii="Cambria" w:hAnsi="Cambria"/>
          <w:sz w:val="24"/>
        </w:rPr>
        <w:tab/>
      </w:r>
      <w:r>
        <w:rPr>
          <w:rFonts w:ascii="Cambria" w:hAnsi="Cambria"/>
          <w:sz w:val="24"/>
        </w:rPr>
        <w:tab/>
      </w:r>
    </w:p>
    <w:p w14:paraId="74CDE8ED" w14:textId="3A1AB961" w:rsidR="00A3531E" w:rsidRDefault="004930D7" w:rsidP="00F8301A">
      <w:pPr>
        <w:spacing w:after="0"/>
        <w:ind w:firstLine="426"/>
        <w:rPr>
          <w:rFonts w:ascii="Cambria" w:hAnsi="Cambria"/>
          <w:sz w:val="24"/>
        </w:rPr>
      </w:pPr>
      <w:r w:rsidRPr="00AC4435">
        <w:rPr>
          <w:rFonts w:ascii="Cambria" w:hAnsi="Cambria"/>
          <w:kern w:val="2"/>
          <w:sz w:val="24"/>
          <w:lang w:val="en-ID"/>
        </w:rPr>
        <w:t xml:space="preserve">Adequate potassium availability also facilitates carbohydrate translocation from source tissues to actively growing organs, thereby supporting the formation of stronger and larger </w:t>
      </w:r>
      <w:r w:rsidRPr="00AC4435">
        <w:rPr>
          <w:rFonts w:ascii="Cambria" w:hAnsi="Cambria"/>
          <w:kern w:val="2"/>
          <w:sz w:val="24"/>
          <w:lang w:val="en-ID"/>
        </w:rPr>
        <w:lastRenderedPageBreak/>
        <w:t xml:space="preserve">stem structures </w:t>
      </w:r>
      <w:r w:rsidR="00062CC7">
        <w:rPr>
          <w:rFonts w:ascii="Cambria" w:hAnsi="Cambria"/>
          <w:kern w:val="2"/>
          <w:sz w:val="24"/>
          <w:lang w:val="en-ID"/>
        </w:rPr>
        <w:fldChar w:fldCharType="begin"/>
      </w:r>
      <w:r w:rsidR="00062CC7">
        <w:rPr>
          <w:rFonts w:ascii="Cambria" w:hAnsi="Cambria"/>
          <w:kern w:val="2"/>
          <w:sz w:val="24"/>
          <w:lang w:val="en-ID"/>
        </w:rPr>
        <w:instrText xml:space="preserve"> ADDIN ZOTERO_ITEM CSL_CITATION {"citationID":"XyDu0qIk","properties":{"unsorted":false,"formattedCitation":"(Han et al., 2022)","plainCitation":"(Han et al., 2022)","noteIndex":0},"citationItems":[{"id":389,"uris":["http://zotero.org/users/local/jSzQgGyj/items/TNR5ITUX"],"itemData":{"id":389,"type":"article-journal","abstract":"Abstract\n            \n              Background\n              Limitation of plant productivity by phosphorus (P) supply is widespread and will probably increase in the future. Relatively large amounts of P fertilizer are applied to sustain crop growth and development and to achieve high yields. However, with increasing P application, plant P efficiency generally declines, which results in greater losses of P to the environment with detrimental consequences for ecosystems.\n            \n            \n              Scope\n              A strategy for reducing P input and environmental losses while maintaining or increasing plant performance is the development of crops that take up P effectively from the soil (P acquisition efficiency) or promote productivity per unit of P taken up (P utilization efficiency). In this review, we describe current research on P metabolism and transport and its relevance for improving P utilization efficiency.\n            \n            \n              Conclusions\n              Enhanced P utilization efficiency can be achieved by optimal partitioning of cellular P and distributing P effectively between tissues, allowing maximum growth and biomass of harvestable plant parts. Knowledge of the mechanisms involved could help design and breed crops with greater P utilization efficiency.","container-title":"Annals of Botany","DOI":"10.1093/aob/mcab145","ISSN":"0305-7364, 1095-8290","issue":"3","language":"en","license":"https://academic.oup.com/journals/pages/open_access/funder_policies/chorus/standard_publication_model","page":"247-258","source":"DOI.org (Crossref)","title":"Mechanisms for improving phosphorus utilization efficiency in plants","volume":"129","author":[{"family":"Han","given":"Yang"},{"family":"White","given":"Philip J"},{"family":"Cheng","given":"Lingyun"}],"issued":{"date-parts":[["2022",2,11]]}}}],"schema":"https://github.com/citation-style-language/schema/raw/master/csl-citation.json"} </w:instrText>
      </w:r>
      <w:r w:rsidR="00062CC7">
        <w:rPr>
          <w:rFonts w:ascii="Cambria" w:hAnsi="Cambria"/>
          <w:kern w:val="2"/>
          <w:sz w:val="24"/>
          <w:lang w:val="en-ID"/>
        </w:rPr>
        <w:fldChar w:fldCharType="separate"/>
      </w:r>
      <w:r w:rsidR="00062CC7" w:rsidRPr="00062CC7">
        <w:rPr>
          <w:rFonts w:ascii="Cambria" w:hAnsi="Cambria"/>
          <w:sz w:val="24"/>
          <w:lang w:val="en-ID"/>
        </w:rPr>
        <w:t>(Han et al., 2022)</w:t>
      </w:r>
      <w:r w:rsidR="00062CC7">
        <w:rPr>
          <w:rFonts w:ascii="Cambria" w:hAnsi="Cambria"/>
          <w:kern w:val="2"/>
          <w:sz w:val="24"/>
          <w:lang w:val="en-ID"/>
        </w:rPr>
        <w:fldChar w:fldCharType="end"/>
      </w:r>
      <w:r w:rsidR="00062CC7">
        <w:rPr>
          <w:rFonts w:ascii="Cambria" w:hAnsi="Cambria"/>
          <w:kern w:val="2"/>
          <w:sz w:val="24"/>
          <w:lang w:val="en-ID"/>
        </w:rPr>
        <w:t xml:space="preserve">. </w:t>
      </w:r>
      <w:r w:rsidRPr="00AC4435">
        <w:rPr>
          <w:rFonts w:ascii="Cambria" w:hAnsi="Cambria"/>
          <w:kern w:val="2"/>
          <w:sz w:val="24"/>
          <w:lang w:val="en-ID"/>
        </w:rPr>
        <w:t xml:space="preserve">These microorganisms are capable of enhancing nutrient mineralization processes, increasing the population of beneficial microbes surrounding the root system, and stimulating the production of phytohormones involved in plant growth regulation. Consequently, root development becomes more efficient, allowing soybean plants to absorb water and nutrients more effectively throughout the growing period. Improved nutrient uptake efficiency ultimately supports the formation of larger stem tissues and greater vegetative biomass accumulation. Similar physiological responses have been reported in soybean plants receiving biofertilizer applications under different cultivation conditions </w:t>
      </w:r>
      <w:r w:rsidR="003F4783">
        <w:rPr>
          <w:rFonts w:ascii="Cambria" w:hAnsi="Cambria"/>
          <w:kern w:val="2"/>
          <w:sz w:val="24"/>
          <w:lang w:val="en-ID"/>
        </w:rPr>
        <w:fldChar w:fldCharType="begin"/>
      </w:r>
      <w:r w:rsidR="003F4783">
        <w:rPr>
          <w:rFonts w:ascii="Cambria" w:hAnsi="Cambria"/>
          <w:kern w:val="2"/>
          <w:sz w:val="24"/>
          <w:lang w:val="en-ID"/>
        </w:rPr>
        <w:instrText xml:space="preserve"> ADDIN ZOTERO_ITEM CSL_CITATION {"citationID":"zNRiSubY","properties":{"unsorted":false,"formattedCitation":"(Htwe et al., 2019)","plainCitation":"(Htwe et al., 2019)","noteIndex":0},"citationItems":[{"id":390,"uris":["http://zotero.org/users/local/jSzQgGyj/items/ZKRS2J8J"],"itemData":{"id":390,"type":"article-journal","abstract":"The use of biofertilizers is important for sustainable agriculture, and the use of nodule bacteria and endophytic actinomycetes is an attractive way to enhance plant growth and yield. This study tested the effects of a biofertilizer produced from Bradyrhizobium strains and Streptomyces griseoflavus on leguminous, cereal, and vegetable crops. Nitrogen fixation was measured using the acetylene reduction assay. Under N-limited or N-supplemented conditions, the biofertilizer significantly promoted the shoot and root growth of mung bean, cowpea, and soybean compared with the control. Therefore, the biofertilizer used in this study was effective in mung bean, cowpea, and soybean regardless of N application. In this study, significant increments in plant growth, nodulation, nitrogen fixation, nitrogen, phosphorus, and potassium (NPK) uptake, and seed yield were found in mung beans and soybeans. Therefore, Bradyrhizobium japonicum SAY3-7 plus Bradyrhizobium elkanii BLY3-8 and Streptomyces griseoflavus are effective bacteria that can be used together as biofertilizer for the production of economically important leguminous crops, especially soybean and mung bean. The biofertilizer produced from Bradyrhizobium and S. griseoflavus P4 will be useful for both soybean and mung bean production.","container-title":"Agronomy","DOI":"10.3390/agronomy9020077","ISSN":"2073-4395","issue":"2","journalAbbreviation":"Agronomy","language":"en","page":"77","source":"DOI.org (Crossref)","title":"Effects of Biofertilizer Produced from Bradyrhizobium and Streptomyces griseoflavus on Plant Growth, Nodulation, Nitrogen Fixation, Nutrient Uptake, and Seed Yield of Mung Bean, Cowpea, and Soybean","volume":"9","author":[{"family":"Htwe","given":"Aung Zaw"},{"family":"Moh","given":"Seinn Moh"},{"family":"Soe","given":"Khin Myat"},{"family":"Moe","given":"Kyi"},{"family":"Yamakawa","given":"Takeo"}],"issued":{"date-parts":[["2019",2,11]]}}}],"schema":"https://github.com/citation-style-language/schema/raw/master/csl-citation.json"} </w:instrText>
      </w:r>
      <w:r w:rsidR="003F4783">
        <w:rPr>
          <w:rFonts w:ascii="Cambria" w:hAnsi="Cambria"/>
          <w:kern w:val="2"/>
          <w:sz w:val="24"/>
          <w:lang w:val="en-ID"/>
        </w:rPr>
        <w:fldChar w:fldCharType="separate"/>
      </w:r>
      <w:r w:rsidR="003F4783" w:rsidRPr="003F4783">
        <w:rPr>
          <w:rFonts w:ascii="Cambria" w:hAnsi="Cambria"/>
          <w:sz w:val="24"/>
          <w:lang w:val="en-ID"/>
        </w:rPr>
        <w:t>(Htwe et al., 2019)</w:t>
      </w:r>
      <w:r w:rsidR="003F4783">
        <w:rPr>
          <w:rFonts w:ascii="Cambria" w:hAnsi="Cambria"/>
          <w:kern w:val="2"/>
          <w:sz w:val="24"/>
          <w:lang w:val="en-ID"/>
        </w:rPr>
        <w:fldChar w:fldCharType="end"/>
      </w:r>
      <w:r w:rsidR="003F4783">
        <w:rPr>
          <w:rFonts w:ascii="Cambria" w:hAnsi="Cambria"/>
          <w:kern w:val="2"/>
          <w:sz w:val="24"/>
          <w:lang w:val="en-ID"/>
        </w:rPr>
        <w:t>.</w:t>
      </w:r>
      <w:r w:rsidRPr="00AC4435">
        <w:rPr>
          <w:rFonts w:ascii="Cambria" w:hAnsi="Cambria"/>
          <w:kern w:val="2"/>
          <w:sz w:val="24"/>
          <w:lang w:val="en-ID"/>
        </w:rPr>
        <w:t xml:space="preserve"> </w:t>
      </w:r>
    </w:p>
    <w:p w14:paraId="49F86018" w14:textId="5950C7C5" w:rsidR="00A3531E" w:rsidRDefault="00F8301A" w:rsidP="00F8301A">
      <w:pPr>
        <w:tabs>
          <w:tab w:val="left" w:pos="450"/>
        </w:tabs>
        <w:spacing w:after="0"/>
        <w:rPr>
          <w:rFonts w:ascii="Cambria" w:hAnsi="Cambria"/>
          <w:sz w:val="24"/>
        </w:rPr>
      </w:pPr>
      <w:r>
        <w:rPr>
          <w:rFonts w:ascii="Cambria" w:hAnsi="Cambria"/>
          <w:sz w:val="24"/>
        </w:rPr>
        <w:tab/>
      </w:r>
      <w:r w:rsidR="004930D7" w:rsidRPr="00AC4435">
        <w:rPr>
          <w:rFonts w:ascii="Cambria" w:hAnsi="Cambria"/>
          <w:kern w:val="2"/>
          <w:sz w:val="24"/>
          <w:lang w:val="en-ID"/>
        </w:rPr>
        <w:t xml:space="preserve">The findings of the present study are also consistent with previous reports demonstrating the positive effects of nano-based fertilizers on vegetative growth parameters. </w:t>
      </w:r>
      <w:r w:rsidR="00C23C0A">
        <w:rPr>
          <w:rFonts w:ascii="Cambria" w:hAnsi="Cambria"/>
          <w:kern w:val="2"/>
          <w:sz w:val="24"/>
          <w:lang w:val="en-ID"/>
        </w:rPr>
        <w:fldChar w:fldCharType="begin"/>
      </w:r>
      <w:r w:rsidR="00C23C0A">
        <w:rPr>
          <w:rFonts w:ascii="Cambria" w:hAnsi="Cambria"/>
          <w:kern w:val="2"/>
          <w:sz w:val="24"/>
          <w:lang w:val="en-ID"/>
        </w:rPr>
        <w:instrText xml:space="preserve"> ADDIN ZOTERO_ITEM CSL_CITATION {"citationID":"vOtFkNYm","properties":{"unsorted":false,"formattedCitation":"(Widiatmanta et al., 2023)","plainCitation":"(Widiatmanta et al., 2023)","noteIndex":0},"citationItems":[{"id":375,"uris":["http://zotero.org/users/local/jSzQgGyj/items/6VP93BNT"],"itemData":{"id":375,"type":"article-journal","abstract":"Zucchini (Cucurbita pepo L.) is a member of the Cucurbitaceae group that is of interest to the public because it has high economic value. However, there are obstacles to cultivation, one way to overcome them is by using nano technology fertilizer and planting media. The aim of this research was to find out the interaction between doses of nanote chnology compound fertilizer and planting media on the growth and yield of zucchini plants (Cucurbita pepo L.). The research method used was a Factorial Randomized Block Design with two factors. First factor: concentration of compound fertilizer with nano technology (P) which consists of 4 levels, namely: P0: control (without application of nano technology fertilizer) P1: concentration of nano fertilizer 5 ml/L P2: concentration of nano fertilizer 10 ml/L P3: concentration of fertilizer nano 15 ml/L Second factor: the composition of the planting medium which consists of 3 levels, namely: M1: Husk charcoal: cocopeat: vermicompost (1:1:1) M2: Husk charcoal: cocopeat: vermicompost (1:1:2) M3: Husk charcoal: cocopeat: vermicompost (1:1:3) Variables observed were plant height (cm), stem diameter (cm), flowering time (DAT), fruit diameter (cm), fruit weight (grams) and fruit length (cm ). From the research results it can be concluded that there is a real interaction in the treatment of nano fertilizer and planting media. The best combination was seen in the application of 10 ml/L nano fertilizer and husk charcoal planting media: cocopeat : vermicompost (1:1:3) (P2M3), at a plant height of 18.96 cm, stem diameter of 1.169, fruit weight of 630 grams, fruit length 43.50 cm and fruit diameter 75.66 cm.","container-title":"VIABEL: Jurnal Ilmiah Ilmu-Ilmu Pertanian","DOI":"10.35457/viabel.v17i2.3124","ISSN":"2527-3345, 1978-5259","issue":"2","journalAbbreviation":"viabel","license":"https://creativecommons.org/licenses/by-sa/4.0","page":"91-97","source":"DOI.org (Crossref)","title":"Konsentrasi Foliar Spraying Pupuk Berteknologi Nano Dan Media Tanam Pada Pertumbuhan Dan Hasil Tanaman Zukini (cucurbita Pepo L.)","volume":"17","author":[{"family":"Widiatmanta","given":"Jeka"},{"family":"Wibowo","given":"Agung Setya"},{"family":"Serdani","given":"Army Dita"},{"family":"Puspitorini","given":"Palupi"},{"family":"Qoyim","given":"Zainul"}],"issued":{"date-parts":[["2023",11,27]]}}}],"schema":"https://github.com/citation-style-language/schema/raw/master/csl-citation.json"} </w:instrText>
      </w:r>
      <w:r w:rsidR="00C23C0A">
        <w:rPr>
          <w:rFonts w:ascii="Cambria" w:hAnsi="Cambria"/>
          <w:kern w:val="2"/>
          <w:sz w:val="24"/>
          <w:lang w:val="en-ID"/>
        </w:rPr>
        <w:fldChar w:fldCharType="separate"/>
      </w:r>
      <w:r w:rsidR="00C23C0A" w:rsidRPr="00C23C0A">
        <w:rPr>
          <w:rFonts w:ascii="Cambria" w:hAnsi="Cambria"/>
          <w:sz w:val="24"/>
          <w:lang w:val="en-ID"/>
        </w:rPr>
        <w:t>Widiatmanta et al.</w:t>
      </w:r>
      <w:r w:rsidR="00C23C0A">
        <w:rPr>
          <w:rFonts w:ascii="Cambria" w:hAnsi="Cambria"/>
          <w:sz w:val="24"/>
          <w:lang w:val="en-ID"/>
        </w:rPr>
        <w:t xml:space="preserve"> (</w:t>
      </w:r>
      <w:r w:rsidR="00C23C0A" w:rsidRPr="00C23C0A">
        <w:rPr>
          <w:rFonts w:ascii="Cambria" w:hAnsi="Cambria"/>
          <w:sz w:val="24"/>
          <w:lang w:val="en-ID"/>
        </w:rPr>
        <w:t>2023)</w:t>
      </w:r>
      <w:r w:rsidR="00C23C0A">
        <w:rPr>
          <w:rFonts w:ascii="Cambria" w:hAnsi="Cambria"/>
          <w:kern w:val="2"/>
          <w:sz w:val="24"/>
          <w:lang w:val="en-ID"/>
        </w:rPr>
        <w:fldChar w:fldCharType="end"/>
      </w:r>
      <w:r w:rsidR="00C23C0A">
        <w:rPr>
          <w:rFonts w:ascii="Cambria" w:hAnsi="Cambria"/>
          <w:kern w:val="2"/>
          <w:sz w:val="24"/>
          <w:lang w:val="en-ID"/>
        </w:rPr>
        <w:t xml:space="preserve"> </w:t>
      </w:r>
      <w:r w:rsidR="004930D7" w:rsidRPr="00AC4435">
        <w:rPr>
          <w:rFonts w:ascii="Cambria" w:hAnsi="Cambria"/>
          <w:kern w:val="2"/>
          <w:sz w:val="24"/>
          <w:lang w:val="en-ID"/>
        </w:rPr>
        <w:t xml:space="preserve">reported that nano fertilizer application significantly increased stem diameter through improved nutrient availability and absorption efficiency. Likewise, </w:t>
      </w:r>
      <w:r w:rsidR="00DA7C0A">
        <w:rPr>
          <w:rFonts w:ascii="Cambria" w:hAnsi="Cambria"/>
          <w:kern w:val="2"/>
          <w:sz w:val="24"/>
          <w:lang w:val="en-ID"/>
        </w:rPr>
        <w:fldChar w:fldCharType="begin"/>
      </w:r>
      <w:r w:rsidR="00DA7C0A">
        <w:rPr>
          <w:rFonts w:ascii="Cambria" w:hAnsi="Cambria"/>
          <w:kern w:val="2"/>
          <w:sz w:val="24"/>
          <w:lang w:val="en-ID"/>
        </w:rPr>
        <w:instrText xml:space="preserve"> ADDIN ZOTERO_ITEM CSL_CITATION {"citationID":"H66tcKQU","properties":{"unsorted":false,"formattedCitation":"(Wang et al., 2024)","plainCitation":"(Wang et al., 2024)","noteIndex":0},"citationItems":[{"id":391,"uris":["http://zotero.org/users/local/jSzQgGyj/items/AI78IQXE"],"itemData":{"id":391,"type":"article-journal","abstract":"Introduction\n              Soybean stem diameter (SD) and branch diameter (BD) are closely related traits, and genetic clarification of SD and BD is crucial for soybean breeding.\n            \n            \n              Methods\n              SD and BD were genetically analyzed by a population of 363 RIL derived from the cross between Zhongdou41 (ZD41) and ZYD02878 using restricted two-stage multi-locus genome-wide association, inclusive composite interval mapping, and three-variance component multi-locus random SNP effect mixed linear modeling. Then candidate genes of major QTLs were selected and genetic selection model of SD and BD were constructed respectively.\n            \n            \n              Results and discussion\n              The results showed that SD and BD were significantly correlated (r = 0.74, P &amp;lt; 0.001). A total of 93 and 84 unique quantitative trait loci (QTL) were detected for SD and BD, respectively by three different methods. There were two and ten major QTLs for SD and BD, respectively, with phenotypic variance explained (PVE) by more than 10%. Within these loci, seven genes involved in the regulation of phytohormones (IAA and GA) and cell proliferation and showing extensive expression of shoot apical meristematic genes were selected as candidate genes. Genomic selection (GS) analysis showed that the trait-associated markers identified in this study reached 0.47-0.73 in terms of prediction accuracy, which was enhanced by 6.56-23.69% compared with genome-wide markers. These results clarify the genetic basis of SD and BD, which laid solid foundation in regulation gene cloning, and GS models constructed could be potentially applied in future breeding programs.","container-title":"Frontiers in Plant Science","DOI":"10.3389/fpls.2024.1388365","ISSN":"1664-462X","journalAbbreviation":"Front. Plant Sci.","page":"1388365","source":"DOI.org (Crossref)","title":"QTL mapping and genomic selection of stem and branch diameter in soybean (Glycine max L.)","volume":"15","author":[{"family":"Wang","given":"Jing"},{"family":"Yang","given":"Qichao"},{"family":"Chen","given":"Yijie"},{"family":"Liu","given":"Kanglin"},{"family":"Zhang","given":"Zhiqing"},{"family":"Xiong","given":"Yajun"},{"family":"Yu","given":"Huan"},{"family":"Yu","given":"Yingdong"},{"family":"Wang","given":"Jun"},{"family":"Song","given":"Jian"},{"family":"Qiu","given":"Lijuan"}],"issued":{"date-parts":[["2024",5,31]]}}}],"schema":"https://github.com/citation-style-language/schema/raw/master/csl-citation.json"} </w:instrText>
      </w:r>
      <w:r w:rsidR="00DA7C0A">
        <w:rPr>
          <w:rFonts w:ascii="Cambria" w:hAnsi="Cambria"/>
          <w:kern w:val="2"/>
          <w:sz w:val="24"/>
          <w:lang w:val="en-ID"/>
        </w:rPr>
        <w:fldChar w:fldCharType="separate"/>
      </w:r>
      <w:r w:rsidR="00DA7C0A" w:rsidRPr="00DA7C0A">
        <w:rPr>
          <w:rFonts w:ascii="Cambria" w:hAnsi="Cambria"/>
          <w:sz w:val="24"/>
          <w:lang w:val="en-ID"/>
        </w:rPr>
        <w:t>Wang et al.</w:t>
      </w:r>
      <w:r w:rsidR="00DA7C0A">
        <w:rPr>
          <w:rFonts w:ascii="Cambria" w:hAnsi="Cambria"/>
          <w:sz w:val="24"/>
          <w:lang w:val="en-ID"/>
        </w:rPr>
        <w:t xml:space="preserve"> (</w:t>
      </w:r>
      <w:r w:rsidR="00DA7C0A" w:rsidRPr="00DA7C0A">
        <w:rPr>
          <w:rFonts w:ascii="Cambria" w:hAnsi="Cambria"/>
          <w:sz w:val="24"/>
          <w:lang w:val="en-ID"/>
        </w:rPr>
        <w:t>2024)</w:t>
      </w:r>
      <w:r w:rsidR="00DA7C0A">
        <w:rPr>
          <w:rFonts w:ascii="Cambria" w:hAnsi="Cambria"/>
          <w:kern w:val="2"/>
          <w:sz w:val="24"/>
          <w:lang w:val="en-ID"/>
        </w:rPr>
        <w:fldChar w:fldCharType="end"/>
      </w:r>
      <w:r w:rsidR="00DA7C0A">
        <w:rPr>
          <w:rFonts w:ascii="Cambria" w:hAnsi="Cambria"/>
          <w:kern w:val="2"/>
          <w:sz w:val="24"/>
          <w:lang w:val="en-ID"/>
        </w:rPr>
        <w:t xml:space="preserve"> </w:t>
      </w:r>
      <w:r w:rsidR="004930D7" w:rsidRPr="00AC4435">
        <w:rPr>
          <w:rFonts w:ascii="Cambria" w:hAnsi="Cambria"/>
          <w:kern w:val="2"/>
          <w:sz w:val="24"/>
          <w:lang w:val="en-ID"/>
        </w:rPr>
        <w:t>emphasized that stem diameter is an important quantitative trait closely associated with soybean growth performance and productivity. Larger stem diameters are generally associated with improved assimilate transport capacity and enhanced plant structural stability, both of which contribute to superior crop performance.</w:t>
      </w:r>
    </w:p>
    <w:p w14:paraId="3CD71ECF" w14:textId="1FEEAF0D" w:rsidR="00A3531E" w:rsidRDefault="00F8301A" w:rsidP="00F8301A">
      <w:pPr>
        <w:tabs>
          <w:tab w:val="left" w:pos="450"/>
        </w:tabs>
        <w:spacing w:after="0"/>
        <w:rPr>
          <w:rFonts w:ascii="Cambria" w:hAnsi="Cambria"/>
          <w:sz w:val="24"/>
        </w:rPr>
      </w:pPr>
      <w:r>
        <w:rPr>
          <w:rFonts w:ascii="Cambria" w:hAnsi="Cambria"/>
          <w:sz w:val="24"/>
        </w:rPr>
        <w:tab/>
      </w:r>
      <w:r w:rsidR="004930D7" w:rsidRPr="00AC4435">
        <w:rPr>
          <w:rFonts w:ascii="Cambria" w:hAnsi="Cambria"/>
          <w:kern w:val="2"/>
          <w:sz w:val="24"/>
          <w:lang w:val="en-ID"/>
        </w:rPr>
        <w:t>Interestingly, increasing fertilizer concentration beyond the optimum level did not consistently improve stem diameter development. Although higher fertilizer dosages may provide greater nutrient quantities, excessive nutrient concentrations do not necessarily enhance nutrient use efficiency. Plants require nutrients in balanced proportions to achieve optimum physiological responses, and nutrient imbalances may negatively affect metabolic processes involved in vegetative growth. This finding explains why the highest concentration of bionanofertilizer and NPK fertilizer did not consistently outperform the moderate treatment combination represented by B2S2. Therefore, the optimum fertilization strategy should emphasize balanced nutrient management rather than maximizing fertilizer application rates alone.</w:t>
      </w:r>
      <w:r w:rsidR="004930D7">
        <w:rPr>
          <w:rFonts w:ascii="Cambria" w:hAnsi="Cambria"/>
          <w:kern w:val="2"/>
          <w:sz w:val="24"/>
          <w:lang w:val="en-ID"/>
        </w:rPr>
        <w:t xml:space="preserve"> </w:t>
      </w:r>
    </w:p>
    <w:p w14:paraId="12D5D06E" w14:textId="7C517302" w:rsidR="00A3531E" w:rsidRDefault="00F8301A" w:rsidP="00F8301A">
      <w:pPr>
        <w:tabs>
          <w:tab w:val="left" w:pos="450"/>
        </w:tabs>
        <w:spacing w:after="0"/>
        <w:rPr>
          <w:rFonts w:ascii="Cambria" w:hAnsi="Cambria"/>
          <w:sz w:val="24"/>
        </w:rPr>
      </w:pPr>
      <w:r>
        <w:rPr>
          <w:rFonts w:ascii="Cambria" w:hAnsi="Cambria"/>
          <w:sz w:val="24"/>
        </w:rPr>
        <w:tab/>
      </w:r>
      <w:r w:rsidR="004930D7">
        <w:rPr>
          <w:rFonts w:ascii="Cambria" w:hAnsi="Cambria"/>
          <w:kern w:val="2"/>
          <w:sz w:val="24"/>
          <w:lang w:val="en-ID"/>
        </w:rPr>
        <w:t>O</w:t>
      </w:r>
      <w:r w:rsidR="004930D7" w:rsidRPr="00AC4435">
        <w:rPr>
          <w:rFonts w:ascii="Cambria" w:hAnsi="Cambria"/>
          <w:kern w:val="2"/>
          <w:sz w:val="24"/>
          <w:lang w:val="en-ID"/>
        </w:rPr>
        <w:t>verall, the present findings indicate that the combination of 9 mL L⁻¹ bionanofertilizer and 9 g plant⁻¹ NPK fertilizer represents the optimum treatment for enhancing soybean stem diameter under the environmental conditions of the present study. The synergistic interaction between nano-based biofertilizer and balanced NPK fertilization effectively promoted stem development by improving nutrient availability, nutrient uptake efficiency, and physiological processes associated with soybean vegetative growth. These results further highlight the potential of integrated fertilization strategies for improving soybean productivity through sustainable nutrient management practices.</w:t>
      </w:r>
    </w:p>
    <w:p w14:paraId="7474D434" w14:textId="77777777" w:rsidR="00F8301A" w:rsidRDefault="00F8301A" w:rsidP="00F8301A">
      <w:pPr>
        <w:tabs>
          <w:tab w:val="left" w:pos="450"/>
        </w:tabs>
        <w:spacing w:after="0"/>
        <w:rPr>
          <w:rFonts w:ascii="Cambria" w:hAnsi="Cambria"/>
          <w:sz w:val="24"/>
        </w:rPr>
      </w:pPr>
    </w:p>
    <w:p w14:paraId="55886534" w14:textId="5BB61C9F" w:rsidR="00F90E86" w:rsidRDefault="004930D7" w:rsidP="00F8301A">
      <w:pPr>
        <w:tabs>
          <w:tab w:val="left" w:pos="450"/>
        </w:tabs>
        <w:spacing w:after="0"/>
        <w:rPr>
          <w:rFonts w:ascii="Cambria" w:hAnsi="Cambria"/>
          <w:sz w:val="24"/>
        </w:rPr>
      </w:pPr>
      <w:r>
        <w:rPr>
          <w:rFonts w:ascii="Cambria" w:hAnsi="Cambria"/>
          <w:i/>
          <w:sz w:val="24"/>
          <w:lang w:val="en-US"/>
        </w:rPr>
        <w:t>3</w:t>
      </w:r>
      <w:r>
        <w:rPr>
          <w:rFonts w:ascii="Cambria" w:hAnsi="Cambria"/>
          <w:i/>
          <w:sz w:val="24"/>
        </w:rPr>
        <w:t>.</w:t>
      </w:r>
      <w:r>
        <w:rPr>
          <w:rFonts w:ascii="Cambria" w:hAnsi="Cambria"/>
          <w:i/>
          <w:sz w:val="24"/>
          <w:lang w:val="en-US"/>
        </w:rPr>
        <w:t>3</w:t>
      </w:r>
      <w:r>
        <w:rPr>
          <w:rFonts w:ascii="Cambria" w:hAnsi="Cambria"/>
          <w:i/>
          <w:sz w:val="24"/>
        </w:rPr>
        <w:t xml:space="preserve">. </w:t>
      </w:r>
      <w:r>
        <w:rPr>
          <w:rFonts w:ascii="Cambria" w:hAnsi="Cambria"/>
          <w:i/>
          <w:sz w:val="24"/>
        </w:rPr>
        <w:tab/>
        <w:t>Effect of Bionanofertilizer Concentration and NPK Fertilizer Dosage on Soybean Yield Components</w:t>
      </w:r>
    </w:p>
    <w:p w14:paraId="0CB5FACD" w14:textId="0AF2FCC1" w:rsidR="00B0333E" w:rsidRDefault="00F90E86" w:rsidP="00F8301A">
      <w:pPr>
        <w:tabs>
          <w:tab w:val="left" w:pos="450"/>
        </w:tabs>
        <w:spacing w:after="0"/>
        <w:rPr>
          <w:rFonts w:ascii="Cambria" w:hAnsi="Cambria"/>
          <w:i/>
          <w:sz w:val="24"/>
        </w:rPr>
      </w:pPr>
      <w:r>
        <w:rPr>
          <w:rFonts w:ascii="Cambria" w:hAnsi="Cambria"/>
          <w:sz w:val="24"/>
        </w:rPr>
        <w:tab/>
      </w:r>
      <w:r w:rsidR="004930D7" w:rsidRPr="00072CCE">
        <w:rPr>
          <w:rFonts w:ascii="Cambria" w:hAnsi="Cambria"/>
          <w:kern w:val="2"/>
          <w:sz w:val="24"/>
        </w:rPr>
        <w:t>The analysis of variance (ANOVA) at the 5% significance level demonstrated a significant interaction between bionanofertilizer concentration and NPK fertilizer dosage on soybean yield components, including the number of pods, pod weight, number of seeds,</w:t>
      </w:r>
      <w:r w:rsidR="00865A9B">
        <w:rPr>
          <w:rFonts w:ascii="Cambria" w:hAnsi="Cambria"/>
          <w:i/>
          <w:sz w:val="24"/>
        </w:rPr>
        <w:t xml:space="preserve"> </w:t>
      </w:r>
      <w:r w:rsidR="004930D7" w:rsidRPr="00072CCE">
        <w:rPr>
          <w:rFonts w:ascii="Cambria" w:hAnsi="Cambria"/>
          <w:kern w:val="2"/>
          <w:sz w:val="24"/>
        </w:rPr>
        <w:t>seed weight, and 100-seed weight. Duncan's Multiple Range Test (DMRT) further revealed that the treatment combination of 9 mL L⁻¹ bionanofertilizer and 9 g plant⁻¹ NPK fertilizer (B2S2) consistently produced superior yield responses compared with the remaining</w:t>
      </w:r>
      <w:r w:rsidR="004930D7">
        <w:rPr>
          <w:rFonts w:ascii="Cambria" w:hAnsi="Cambria"/>
          <w:kern w:val="2"/>
          <w:sz w:val="24"/>
        </w:rPr>
        <w:t xml:space="preserve"> </w:t>
      </w:r>
      <w:r w:rsidR="004930D7" w:rsidRPr="00072CCE">
        <w:rPr>
          <w:rFonts w:ascii="Cambria" w:hAnsi="Cambria"/>
          <w:kern w:val="2"/>
          <w:sz w:val="24"/>
        </w:rPr>
        <w:t>treatment combinations. These findings indicate that balanced nutrient availability plays an important role in supporting reproductive development and seed formation in soybean plants.</w:t>
      </w:r>
      <w:r w:rsidR="00865A9B">
        <w:rPr>
          <w:rFonts w:ascii="Cambria" w:hAnsi="Cambria"/>
          <w:i/>
          <w:sz w:val="24"/>
        </w:rPr>
        <w:t xml:space="preserve"> </w:t>
      </w:r>
    </w:p>
    <w:p w14:paraId="6A3E0E43" w14:textId="77777777" w:rsidR="00B16E15" w:rsidRPr="00F90E86" w:rsidRDefault="00B16E15" w:rsidP="00F8301A">
      <w:pPr>
        <w:tabs>
          <w:tab w:val="left" w:pos="450"/>
        </w:tabs>
        <w:spacing w:after="0"/>
        <w:rPr>
          <w:rFonts w:ascii="Cambria" w:hAnsi="Cambria"/>
          <w:sz w:val="24"/>
        </w:rPr>
      </w:pPr>
    </w:p>
    <w:p w14:paraId="3D87DA12" w14:textId="7BAE338B" w:rsidR="00AF70F6" w:rsidRPr="00B0333E" w:rsidRDefault="005E71C0" w:rsidP="005E71C0">
      <w:pPr>
        <w:tabs>
          <w:tab w:val="left" w:pos="450"/>
        </w:tabs>
        <w:spacing w:after="0"/>
        <w:ind w:left="426"/>
        <w:rPr>
          <w:rFonts w:ascii="Cambria" w:hAnsi="Cambria"/>
          <w:i/>
          <w:sz w:val="24"/>
        </w:rPr>
      </w:pPr>
      <w:r>
        <w:rPr>
          <w:rFonts w:ascii="Cambria" w:hAnsi="Cambria"/>
          <w:b/>
          <w:sz w:val="24"/>
          <w:lang w:val="en-US"/>
        </w:rPr>
        <w:lastRenderedPageBreak/>
        <w:tab/>
      </w:r>
      <w:r w:rsidR="00AF70F6">
        <w:rPr>
          <w:rFonts w:ascii="Cambria" w:hAnsi="Cambria"/>
          <w:b/>
          <w:sz w:val="24"/>
          <w:lang w:val="en-US"/>
        </w:rPr>
        <w:t>Table 4</w:t>
      </w:r>
      <w:r w:rsidR="00AF70F6">
        <w:rPr>
          <w:rFonts w:ascii="Cambria" w:hAnsi="Cambria"/>
          <w:sz w:val="24"/>
          <w:lang w:val="en-US"/>
        </w:rPr>
        <w:t xml:space="preserve"> Mean values of soybean yield components under different combinations of</w:t>
      </w:r>
      <w:r>
        <w:rPr>
          <w:rFonts w:ascii="Cambria" w:hAnsi="Cambria"/>
          <w:sz w:val="24"/>
          <w:lang w:val="en-US"/>
        </w:rPr>
        <w:t xml:space="preserve"> </w:t>
      </w:r>
      <w:r w:rsidR="00AF70F6">
        <w:rPr>
          <w:rFonts w:ascii="Cambria" w:hAnsi="Cambria"/>
          <w:sz w:val="24"/>
          <w:lang w:val="en-US"/>
        </w:rPr>
        <w:t>bionanofertilizer concentration and NPK fertilizer dosage</w:t>
      </w:r>
    </w:p>
    <w:tbl>
      <w:tblPr>
        <w:tblW w:w="8788" w:type="dxa"/>
        <w:tblInd w:w="426" w:type="dxa"/>
        <w:tblLayout w:type="fixed"/>
        <w:tblLook w:val="04A0" w:firstRow="1" w:lastRow="0" w:firstColumn="1" w:lastColumn="0" w:noHBand="0" w:noVBand="1"/>
      </w:tblPr>
      <w:tblGrid>
        <w:gridCol w:w="1865"/>
        <w:gridCol w:w="1134"/>
        <w:gridCol w:w="1559"/>
        <w:gridCol w:w="1559"/>
        <w:gridCol w:w="1276"/>
        <w:gridCol w:w="1395"/>
      </w:tblGrid>
      <w:tr w:rsidR="00AF70F6" w:rsidRPr="00B16E15" w14:paraId="2945861A" w14:textId="77777777" w:rsidTr="005E71C0">
        <w:trPr>
          <w:trHeight w:val="544"/>
        </w:trPr>
        <w:tc>
          <w:tcPr>
            <w:tcW w:w="1865" w:type="dxa"/>
            <w:vMerge w:val="restart"/>
            <w:tcBorders>
              <w:top w:val="single" w:sz="18" w:space="0" w:color="auto"/>
              <w:left w:val="nil"/>
              <w:right w:val="nil"/>
            </w:tcBorders>
            <w:noWrap/>
            <w:vAlign w:val="center"/>
            <w:hideMark/>
          </w:tcPr>
          <w:p w14:paraId="1FC5CAF8" w14:textId="77777777" w:rsidR="00AF70F6" w:rsidRPr="00B16E15" w:rsidRDefault="00AF70F6" w:rsidP="00E552E1">
            <w:pPr>
              <w:spacing w:after="0" w:line="360" w:lineRule="auto"/>
              <w:jc w:val="center"/>
              <w:rPr>
                <w:rFonts w:eastAsia="Times New Roman"/>
                <w:color w:val="000000"/>
                <w:sz w:val="20"/>
                <w:szCs w:val="20"/>
                <w:lang w:eastAsia="en-ID"/>
              </w:rPr>
            </w:pPr>
            <w:r w:rsidRPr="00B16E15">
              <w:rPr>
                <w:sz w:val="20"/>
                <w:szCs w:val="20"/>
              </w:rPr>
              <w:t>Treatment Combinations</w:t>
            </w:r>
          </w:p>
        </w:tc>
        <w:tc>
          <w:tcPr>
            <w:tcW w:w="1134" w:type="dxa"/>
            <w:vMerge w:val="restart"/>
            <w:tcBorders>
              <w:top w:val="single" w:sz="18" w:space="0" w:color="auto"/>
              <w:left w:val="nil"/>
              <w:bottom w:val="single" w:sz="4" w:space="0" w:color="000000"/>
              <w:right w:val="nil"/>
            </w:tcBorders>
            <w:vAlign w:val="center"/>
            <w:hideMark/>
          </w:tcPr>
          <w:p w14:paraId="02084B30" w14:textId="77777777" w:rsidR="00AF70F6" w:rsidRPr="00B16E15" w:rsidRDefault="00AF70F6" w:rsidP="00E552E1">
            <w:pPr>
              <w:spacing w:after="0" w:line="276" w:lineRule="auto"/>
              <w:jc w:val="center"/>
              <w:rPr>
                <w:rFonts w:eastAsia="Times New Roman"/>
                <w:color w:val="000000"/>
                <w:sz w:val="20"/>
                <w:szCs w:val="20"/>
                <w:lang w:eastAsia="en-ID"/>
              </w:rPr>
            </w:pPr>
            <w:r w:rsidRPr="00B16E15">
              <w:rPr>
                <w:rFonts w:eastAsia="Times New Roman"/>
                <w:color w:val="000000"/>
                <w:sz w:val="20"/>
                <w:szCs w:val="20"/>
                <w:lang w:eastAsia="en-ID"/>
              </w:rPr>
              <w:t>Number of Pods</w:t>
            </w:r>
          </w:p>
        </w:tc>
        <w:tc>
          <w:tcPr>
            <w:tcW w:w="1559" w:type="dxa"/>
            <w:vMerge w:val="restart"/>
            <w:tcBorders>
              <w:top w:val="single" w:sz="18" w:space="0" w:color="auto"/>
              <w:left w:val="nil"/>
              <w:bottom w:val="single" w:sz="4" w:space="0" w:color="000000"/>
              <w:right w:val="nil"/>
            </w:tcBorders>
            <w:vAlign w:val="center"/>
            <w:hideMark/>
          </w:tcPr>
          <w:p w14:paraId="133921AB" w14:textId="77777777" w:rsidR="00AF70F6" w:rsidRPr="00B16E15" w:rsidRDefault="00AF70F6" w:rsidP="00E552E1">
            <w:pPr>
              <w:spacing w:after="0" w:line="276" w:lineRule="auto"/>
              <w:jc w:val="center"/>
              <w:rPr>
                <w:rFonts w:eastAsia="Times New Roman"/>
                <w:color w:val="000000"/>
                <w:sz w:val="20"/>
                <w:szCs w:val="20"/>
                <w:lang w:eastAsia="en-ID"/>
              </w:rPr>
            </w:pPr>
            <w:r w:rsidRPr="00B16E15">
              <w:rPr>
                <w:rFonts w:eastAsia="Times New Roman"/>
                <w:color w:val="000000"/>
                <w:sz w:val="20"/>
                <w:szCs w:val="20"/>
                <w:lang w:eastAsia="en-ID"/>
              </w:rPr>
              <w:t>Pod Weight (g)</w:t>
            </w:r>
          </w:p>
        </w:tc>
        <w:tc>
          <w:tcPr>
            <w:tcW w:w="1559" w:type="dxa"/>
            <w:vMerge w:val="restart"/>
            <w:tcBorders>
              <w:top w:val="single" w:sz="18" w:space="0" w:color="auto"/>
              <w:left w:val="nil"/>
              <w:bottom w:val="single" w:sz="4" w:space="0" w:color="000000"/>
              <w:right w:val="nil"/>
            </w:tcBorders>
            <w:vAlign w:val="center"/>
            <w:hideMark/>
          </w:tcPr>
          <w:p w14:paraId="11CD5D91" w14:textId="77777777" w:rsidR="00AF70F6" w:rsidRPr="00B16E15" w:rsidRDefault="00AF70F6" w:rsidP="00E552E1">
            <w:pPr>
              <w:spacing w:after="0" w:line="276" w:lineRule="auto"/>
              <w:jc w:val="center"/>
              <w:rPr>
                <w:rFonts w:eastAsia="Times New Roman"/>
                <w:color w:val="000000"/>
                <w:sz w:val="20"/>
                <w:szCs w:val="20"/>
                <w:lang w:eastAsia="en-ID"/>
              </w:rPr>
            </w:pPr>
            <w:r w:rsidRPr="00B16E15">
              <w:rPr>
                <w:rFonts w:eastAsia="Times New Roman"/>
                <w:color w:val="000000"/>
                <w:sz w:val="20"/>
                <w:szCs w:val="20"/>
                <w:lang w:eastAsia="en-ID"/>
              </w:rPr>
              <w:t>Number of Seeds</w:t>
            </w:r>
          </w:p>
        </w:tc>
        <w:tc>
          <w:tcPr>
            <w:tcW w:w="1276" w:type="dxa"/>
            <w:vMerge w:val="restart"/>
            <w:tcBorders>
              <w:top w:val="single" w:sz="18" w:space="0" w:color="auto"/>
              <w:left w:val="nil"/>
              <w:bottom w:val="single" w:sz="4" w:space="0" w:color="000000"/>
              <w:right w:val="nil"/>
            </w:tcBorders>
            <w:vAlign w:val="center"/>
            <w:hideMark/>
          </w:tcPr>
          <w:p w14:paraId="0E8B2FE3" w14:textId="77777777" w:rsidR="00AF70F6" w:rsidRPr="00B16E15" w:rsidRDefault="00AF70F6" w:rsidP="00E552E1">
            <w:pPr>
              <w:spacing w:after="0" w:line="276" w:lineRule="auto"/>
              <w:jc w:val="center"/>
              <w:rPr>
                <w:rFonts w:eastAsia="Times New Roman"/>
                <w:color w:val="000000"/>
                <w:sz w:val="20"/>
                <w:szCs w:val="20"/>
                <w:lang w:eastAsia="en-ID"/>
              </w:rPr>
            </w:pPr>
            <w:r w:rsidRPr="00B16E15">
              <w:rPr>
                <w:rFonts w:eastAsia="Times New Roman"/>
                <w:color w:val="000000"/>
                <w:sz w:val="20"/>
                <w:szCs w:val="20"/>
                <w:lang w:eastAsia="en-ID"/>
              </w:rPr>
              <w:t>Seed Weight (g)</w:t>
            </w:r>
          </w:p>
        </w:tc>
        <w:tc>
          <w:tcPr>
            <w:tcW w:w="1395" w:type="dxa"/>
            <w:vMerge w:val="restart"/>
            <w:tcBorders>
              <w:top w:val="single" w:sz="18" w:space="0" w:color="auto"/>
              <w:left w:val="nil"/>
              <w:bottom w:val="single" w:sz="4" w:space="0" w:color="000000"/>
              <w:right w:val="nil"/>
            </w:tcBorders>
            <w:noWrap/>
            <w:vAlign w:val="center"/>
            <w:hideMark/>
          </w:tcPr>
          <w:p w14:paraId="0CB8D163" w14:textId="77777777" w:rsidR="00AF70F6" w:rsidRPr="00B16E15" w:rsidRDefault="00AF70F6" w:rsidP="00E552E1">
            <w:pPr>
              <w:spacing w:after="0" w:line="276" w:lineRule="auto"/>
              <w:jc w:val="center"/>
              <w:rPr>
                <w:rFonts w:eastAsia="Times New Roman"/>
                <w:color w:val="000000"/>
                <w:sz w:val="20"/>
                <w:szCs w:val="20"/>
                <w:lang w:eastAsia="en-ID"/>
              </w:rPr>
            </w:pPr>
            <w:r w:rsidRPr="00B16E15">
              <w:rPr>
                <w:rFonts w:eastAsia="Times New Roman"/>
                <w:color w:val="000000"/>
                <w:sz w:val="20"/>
                <w:szCs w:val="20"/>
                <w:lang w:eastAsia="en-ID"/>
              </w:rPr>
              <w:t>100-Seed Weight (g)</w:t>
            </w:r>
          </w:p>
        </w:tc>
      </w:tr>
      <w:tr w:rsidR="00AF70F6" w:rsidRPr="00B16E15" w14:paraId="52BD9F57" w14:textId="77777777" w:rsidTr="005E71C0">
        <w:trPr>
          <w:trHeight w:val="342"/>
        </w:trPr>
        <w:tc>
          <w:tcPr>
            <w:tcW w:w="1865" w:type="dxa"/>
            <w:vMerge/>
            <w:tcBorders>
              <w:left w:val="nil"/>
              <w:bottom w:val="single" w:sz="18" w:space="0" w:color="auto"/>
              <w:right w:val="nil"/>
            </w:tcBorders>
            <w:hideMark/>
          </w:tcPr>
          <w:p w14:paraId="6B3663B1" w14:textId="77777777" w:rsidR="00AF70F6" w:rsidRPr="00B16E15" w:rsidRDefault="00AF70F6" w:rsidP="00E552E1">
            <w:pPr>
              <w:spacing w:after="0" w:line="360" w:lineRule="auto"/>
              <w:rPr>
                <w:rFonts w:eastAsia="Times New Roman"/>
                <w:color w:val="000000"/>
                <w:sz w:val="20"/>
                <w:szCs w:val="20"/>
                <w:lang w:eastAsia="en-ID"/>
              </w:rPr>
            </w:pPr>
          </w:p>
        </w:tc>
        <w:tc>
          <w:tcPr>
            <w:tcW w:w="1134" w:type="dxa"/>
            <w:vMerge/>
            <w:tcBorders>
              <w:top w:val="nil"/>
              <w:left w:val="nil"/>
              <w:bottom w:val="single" w:sz="18" w:space="0" w:color="auto"/>
              <w:right w:val="nil"/>
            </w:tcBorders>
            <w:vAlign w:val="center"/>
            <w:hideMark/>
          </w:tcPr>
          <w:p w14:paraId="209B6BBF" w14:textId="77777777" w:rsidR="00AF70F6" w:rsidRPr="00B16E15" w:rsidRDefault="00AF70F6" w:rsidP="00E552E1">
            <w:pPr>
              <w:spacing w:after="0" w:line="360" w:lineRule="auto"/>
              <w:rPr>
                <w:rFonts w:eastAsia="Times New Roman"/>
                <w:color w:val="000000"/>
                <w:sz w:val="20"/>
                <w:szCs w:val="20"/>
                <w:lang w:eastAsia="en-ID"/>
              </w:rPr>
            </w:pPr>
          </w:p>
        </w:tc>
        <w:tc>
          <w:tcPr>
            <w:tcW w:w="1559" w:type="dxa"/>
            <w:vMerge/>
            <w:tcBorders>
              <w:top w:val="nil"/>
              <w:left w:val="nil"/>
              <w:bottom w:val="single" w:sz="18" w:space="0" w:color="auto"/>
              <w:right w:val="nil"/>
            </w:tcBorders>
            <w:vAlign w:val="center"/>
            <w:hideMark/>
          </w:tcPr>
          <w:p w14:paraId="05814E57" w14:textId="77777777" w:rsidR="00AF70F6" w:rsidRPr="00B16E15" w:rsidRDefault="00AF70F6" w:rsidP="00E552E1">
            <w:pPr>
              <w:spacing w:after="0" w:line="360" w:lineRule="auto"/>
              <w:rPr>
                <w:rFonts w:eastAsia="Times New Roman"/>
                <w:color w:val="000000"/>
                <w:sz w:val="20"/>
                <w:szCs w:val="20"/>
                <w:lang w:eastAsia="en-ID"/>
              </w:rPr>
            </w:pPr>
          </w:p>
        </w:tc>
        <w:tc>
          <w:tcPr>
            <w:tcW w:w="1559" w:type="dxa"/>
            <w:vMerge/>
            <w:tcBorders>
              <w:top w:val="nil"/>
              <w:left w:val="nil"/>
              <w:bottom w:val="single" w:sz="18" w:space="0" w:color="auto"/>
              <w:right w:val="nil"/>
            </w:tcBorders>
            <w:vAlign w:val="center"/>
            <w:hideMark/>
          </w:tcPr>
          <w:p w14:paraId="4CA70BD0" w14:textId="77777777" w:rsidR="00AF70F6" w:rsidRPr="00B16E15" w:rsidRDefault="00AF70F6" w:rsidP="00E552E1">
            <w:pPr>
              <w:spacing w:after="0" w:line="360" w:lineRule="auto"/>
              <w:rPr>
                <w:rFonts w:eastAsia="Times New Roman"/>
                <w:color w:val="000000"/>
                <w:sz w:val="20"/>
                <w:szCs w:val="20"/>
                <w:lang w:eastAsia="en-ID"/>
              </w:rPr>
            </w:pPr>
          </w:p>
        </w:tc>
        <w:tc>
          <w:tcPr>
            <w:tcW w:w="1276" w:type="dxa"/>
            <w:vMerge/>
            <w:tcBorders>
              <w:top w:val="nil"/>
              <w:left w:val="nil"/>
              <w:bottom w:val="single" w:sz="18" w:space="0" w:color="auto"/>
              <w:right w:val="nil"/>
            </w:tcBorders>
            <w:vAlign w:val="center"/>
            <w:hideMark/>
          </w:tcPr>
          <w:p w14:paraId="3F7D0AD9" w14:textId="77777777" w:rsidR="00AF70F6" w:rsidRPr="00B16E15" w:rsidRDefault="00AF70F6" w:rsidP="00E552E1">
            <w:pPr>
              <w:spacing w:after="0" w:line="360" w:lineRule="auto"/>
              <w:rPr>
                <w:rFonts w:eastAsia="Times New Roman"/>
                <w:color w:val="000000"/>
                <w:sz w:val="20"/>
                <w:szCs w:val="20"/>
                <w:lang w:eastAsia="en-ID"/>
              </w:rPr>
            </w:pPr>
          </w:p>
        </w:tc>
        <w:tc>
          <w:tcPr>
            <w:tcW w:w="1395" w:type="dxa"/>
            <w:vMerge/>
            <w:tcBorders>
              <w:top w:val="nil"/>
              <w:left w:val="nil"/>
              <w:bottom w:val="single" w:sz="18" w:space="0" w:color="auto"/>
              <w:right w:val="nil"/>
            </w:tcBorders>
            <w:vAlign w:val="center"/>
            <w:hideMark/>
          </w:tcPr>
          <w:p w14:paraId="3B15E9F8" w14:textId="77777777" w:rsidR="00AF70F6" w:rsidRPr="00B16E15" w:rsidRDefault="00AF70F6" w:rsidP="00E552E1">
            <w:pPr>
              <w:spacing w:after="0" w:line="360" w:lineRule="auto"/>
              <w:rPr>
                <w:rFonts w:eastAsia="Times New Roman"/>
                <w:color w:val="000000"/>
                <w:sz w:val="20"/>
                <w:szCs w:val="20"/>
                <w:lang w:eastAsia="en-ID"/>
              </w:rPr>
            </w:pPr>
          </w:p>
        </w:tc>
      </w:tr>
      <w:tr w:rsidR="007E78DD" w:rsidRPr="00B16E15" w14:paraId="614A53DA" w14:textId="77777777" w:rsidTr="005E71C0">
        <w:trPr>
          <w:trHeight w:val="342"/>
        </w:trPr>
        <w:tc>
          <w:tcPr>
            <w:tcW w:w="1865" w:type="dxa"/>
            <w:tcBorders>
              <w:top w:val="single" w:sz="18" w:space="0" w:color="auto"/>
              <w:left w:val="nil"/>
              <w:bottom w:val="nil"/>
              <w:right w:val="nil"/>
            </w:tcBorders>
            <w:noWrap/>
            <w:hideMark/>
          </w:tcPr>
          <w:p w14:paraId="4F96BB0D" w14:textId="2B05E41F" w:rsidR="007E78DD" w:rsidRPr="00B16E15" w:rsidRDefault="007E78DD" w:rsidP="007E78DD">
            <w:pPr>
              <w:spacing w:after="0" w:line="360" w:lineRule="auto"/>
              <w:jc w:val="center"/>
              <w:rPr>
                <w:rFonts w:eastAsia="Times New Roman"/>
                <w:color w:val="000000"/>
                <w:sz w:val="20"/>
                <w:szCs w:val="20"/>
                <w:lang w:eastAsia="en-ID"/>
              </w:rPr>
            </w:pPr>
            <w:r w:rsidRPr="00B16E15">
              <w:rPr>
                <w:sz w:val="20"/>
                <w:szCs w:val="20"/>
              </w:rPr>
              <w:t>B1S1</w:t>
            </w:r>
          </w:p>
        </w:tc>
        <w:tc>
          <w:tcPr>
            <w:tcW w:w="1134" w:type="dxa"/>
            <w:tcBorders>
              <w:top w:val="single" w:sz="18" w:space="0" w:color="auto"/>
              <w:left w:val="nil"/>
              <w:bottom w:val="nil"/>
              <w:right w:val="nil"/>
            </w:tcBorders>
            <w:noWrap/>
            <w:vAlign w:val="center"/>
            <w:hideMark/>
          </w:tcPr>
          <w:p w14:paraId="6492B185"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144 bc</w:t>
            </w:r>
          </w:p>
        </w:tc>
        <w:tc>
          <w:tcPr>
            <w:tcW w:w="1559" w:type="dxa"/>
            <w:tcBorders>
              <w:top w:val="single" w:sz="18" w:space="0" w:color="auto"/>
              <w:left w:val="nil"/>
              <w:bottom w:val="nil"/>
              <w:right w:val="nil"/>
            </w:tcBorders>
            <w:noWrap/>
            <w:vAlign w:val="center"/>
            <w:hideMark/>
          </w:tcPr>
          <w:p w14:paraId="6AB12650"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196 ab</w:t>
            </w:r>
          </w:p>
        </w:tc>
        <w:tc>
          <w:tcPr>
            <w:tcW w:w="1559" w:type="dxa"/>
            <w:tcBorders>
              <w:top w:val="single" w:sz="18" w:space="0" w:color="auto"/>
              <w:left w:val="nil"/>
              <w:bottom w:val="nil"/>
              <w:right w:val="nil"/>
            </w:tcBorders>
            <w:noWrap/>
            <w:vAlign w:val="center"/>
            <w:hideMark/>
          </w:tcPr>
          <w:p w14:paraId="2917B397"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308,3 abc</w:t>
            </w:r>
          </w:p>
        </w:tc>
        <w:tc>
          <w:tcPr>
            <w:tcW w:w="1276" w:type="dxa"/>
            <w:tcBorders>
              <w:top w:val="single" w:sz="18" w:space="0" w:color="auto"/>
              <w:left w:val="nil"/>
              <w:bottom w:val="nil"/>
              <w:right w:val="nil"/>
            </w:tcBorders>
            <w:noWrap/>
            <w:vAlign w:val="center"/>
            <w:hideMark/>
          </w:tcPr>
          <w:p w14:paraId="0D516A3F"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52,8 ab</w:t>
            </w:r>
          </w:p>
        </w:tc>
        <w:tc>
          <w:tcPr>
            <w:tcW w:w="1395" w:type="dxa"/>
            <w:tcBorders>
              <w:top w:val="single" w:sz="18" w:space="0" w:color="auto"/>
              <w:left w:val="nil"/>
              <w:bottom w:val="nil"/>
              <w:right w:val="nil"/>
            </w:tcBorders>
            <w:noWrap/>
            <w:vAlign w:val="center"/>
            <w:hideMark/>
          </w:tcPr>
          <w:p w14:paraId="0765A3D2"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17 abc</w:t>
            </w:r>
          </w:p>
        </w:tc>
      </w:tr>
      <w:tr w:rsidR="007E78DD" w:rsidRPr="00B16E15" w14:paraId="46E91678" w14:textId="77777777" w:rsidTr="005E71C0">
        <w:trPr>
          <w:trHeight w:val="342"/>
        </w:trPr>
        <w:tc>
          <w:tcPr>
            <w:tcW w:w="1865" w:type="dxa"/>
            <w:tcBorders>
              <w:top w:val="nil"/>
              <w:left w:val="nil"/>
              <w:bottom w:val="nil"/>
              <w:right w:val="nil"/>
            </w:tcBorders>
            <w:noWrap/>
            <w:hideMark/>
          </w:tcPr>
          <w:p w14:paraId="7B7FC49C" w14:textId="41B931FA" w:rsidR="007E78DD" w:rsidRPr="00B16E15" w:rsidRDefault="007E78DD" w:rsidP="007E78DD">
            <w:pPr>
              <w:spacing w:after="0" w:line="360" w:lineRule="auto"/>
              <w:jc w:val="center"/>
              <w:rPr>
                <w:rFonts w:eastAsia="Times New Roman"/>
                <w:color w:val="000000"/>
                <w:sz w:val="20"/>
                <w:szCs w:val="20"/>
                <w:lang w:eastAsia="en-ID"/>
              </w:rPr>
            </w:pPr>
            <w:r w:rsidRPr="00B16E15">
              <w:rPr>
                <w:sz w:val="20"/>
                <w:szCs w:val="20"/>
              </w:rPr>
              <w:t>B1S2</w:t>
            </w:r>
          </w:p>
        </w:tc>
        <w:tc>
          <w:tcPr>
            <w:tcW w:w="1134" w:type="dxa"/>
            <w:tcBorders>
              <w:top w:val="nil"/>
              <w:left w:val="nil"/>
              <w:bottom w:val="nil"/>
              <w:right w:val="nil"/>
            </w:tcBorders>
            <w:noWrap/>
            <w:vAlign w:val="center"/>
            <w:hideMark/>
          </w:tcPr>
          <w:p w14:paraId="6FA67C85"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157,8 c</w:t>
            </w:r>
          </w:p>
        </w:tc>
        <w:tc>
          <w:tcPr>
            <w:tcW w:w="1559" w:type="dxa"/>
            <w:tcBorders>
              <w:top w:val="nil"/>
              <w:left w:val="nil"/>
              <w:bottom w:val="nil"/>
              <w:right w:val="nil"/>
            </w:tcBorders>
            <w:noWrap/>
            <w:vAlign w:val="center"/>
            <w:hideMark/>
          </w:tcPr>
          <w:p w14:paraId="6103F13A"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224,7 abc</w:t>
            </w:r>
          </w:p>
        </w:tc>
        <w:tc>
          <w:tcPr>
            <w:tcW w:w="1559" w:type="dxa"/>
            <w:tcBorders>
              <w:top w:val="nil"/>
              <w:left w:val="nil"/>
              <w:bottom w:val="nil"/>
              <w:right w:val="nil"/>
            </w:tcBorders>
            <w:noWrap/>
            <w:vAlign w:val="center"/>
            <w:hideMark/>
          </w:tcPr>
          <w:p w14:paraId="6F4A2219"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348,3 bc</w:t>
            </w:r>
          </w:p>
        </w:tc>
        <w:tc>
          <w:tcPr>
            <w:tcW w:w="1276" w:type="dxa"/>
            <w:tcBorders>
              <w:top w:val="nil"/>
              <w:left w:val="nil"/>
              <w:bottom w:val="nil"/>
              <w:right w:val="nil"/>
            </w:tcBorders>
            <w:noWrap/>
            <w:vAlign w:val="center"/>
            <w:hideMark/>
          </w:tcPr>
          <w:p w14:paraId="0A0B05BB"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64,2 bc</w:t>
            </w:r>
          </w:p>
        </w:tc>
        <w:tc>
          <w:tcPr>
            <w:tcW w:w="1395" w:type="dxa"/>
            <w:tcBorders>
              <w:top w:val="nil"/>
              <w:left w:val="nil"/>
              <w:bottom w:val="nil"/>
              <w:right w:val="nil"/>
            </w:tcBorders>
            <w:noWrap/>
            <w:vAlign w:val="center"/>
            <w:hideMark/>
          </w:tcPr>
          <w:p w14:paraId="63E79918"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17,6 abc</w:t>
            </w:r>
          </w:p>
        </w:tc>
      </w:tr>
      <w:tr w:rsidR="007E78DD" w:rsidRPr="00B16E15" w14:paraId="1C1258D6" w14:textId="77777777" w:rsidTr="005E71C0">
        <w:trPr>
          <w:trHeight w:val="342"/>
        </w:trPr>
        <w:tc>
          <w:tcPr>
            <w:tcW w:w="1865" w:type="dxa"/>
            <w:tcBorders>
              <w:top w:val="nil"/>
              <w:left w:val="nil"/>
              <w:bottom w:val="nil"/>
              <w:right w:val="nil"/>
            </w:tcBorders>
            <w:noWrap/>
            <w:hideMark/>
          </w:tcPr>
          <w:p w14:paraId="770FD0E2" w14:textId="574089CC" w:rsidR="007E78DD" w:rsidRPr="00B16E15" w:rsidRDefault="007E78DD" w:rsidP="007E78DD">
            <w:pPr>
              <w:spacing w:after="0" w:line="360" w:lineRule="auto"/>
              <w:jc w:val="center"/>
              <w:rPr>
                <w:rFonts w:eastAsia="Times New Roman"/>
                <w:color w:val="000000"/>
                <w:sz w:val="20"/>
                <w:szCs w:val="20"/>
                <w:lang w:eastAsia="en-ID"/>
              </w:rPr>
            </w:pPr>
            <w:r w:rsidRPr="00B16E15">
              <w:rPr>
                <w:sz w:val="20"/>
                <w:szCs w:val="20"/>
              </w:rPr>
              <w:t>B1S3</w:t>
            </w:r>
          </w:p>
        </w:tc>
        <w:tc>
          <w:tcPr>
            <w:tcW w:w="1134" w:type="dxa"/>
            <w:tcBorders>
              <w:top w:val="nil"/>
              <w:left w:val="nil"/>
              <w:bottom w:val="nil"/>
              <w:right w:val="nil"/>
            </w:tcBorders>
            <w:noWrap/>
            <w:vAlign w:val="center"/>
            <w:hideMark/>
          </w:tcPr>
          <w:p w14:paraId="34CD5F65"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146,7 bc</w:t>
            </w:r>
          </w:p>
        </w:tc>
        <w:tc>
          <w:tcPr>
            <w:tcW w:w="1559" w:type="dxa"/>
            <w:tcBorders>
              <w:top w:val="nil"/>
              <w:left w:val="nil"/>
              <w:bottom w:val="nil"/>
              <w:right w:val="nil"/>
            </w:tcBorders>
            <w:noWrap/>
            <w:vAlign w:val="center"/>
            <w:hideMark/>
          </w:tcPr>
          <w:p w14:paraId="45D171BE"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203,7 abc</w:t>
            </w:r>
          </w:p>
        </w:tc>
        <w:tc>
          <w:tcPr>
            <w:tcW w:w="1559" w:type="dxa"/>
            <w:tcBorders>
              <w:top w:val="nil"/>
              <w:left w:val="nil"/>
              <w:bottom w:val="nil"/>
              <w:right w:val="nil"/>
            </w:tcBorders>
            <w:noWrap/>
            <w:vAlign w:val="center"/>
            <w:hideMark/>
          </w:tcPr>
          <w:p w14:paraId="0F056DE1"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282,2 ab</w:t>
            </w:r>
          </w:p>
        </w:tc>
        <w:tc>
          <w:tcPr>
            <w:tcW w:w="1276" w:type="dxa"/>
            <w:tcBorders>
              <w:top w:val="nil"/>
              <w:left w:val="nil"/>
              <w:bottom w:val="nil"/>
              <w:right w:val="nil"/>
            </w:tcBorders>
            <w:noWrap/>
            <w:vAlign w:val="center"/>
            <w:hideMark/>
          </w:tcPr>
          <w:p w14:paraId="5E54FAC6"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59 abc</w:t>
            </w:r>
          </w:p>
        </w:tc>
        <w:tc>
          <w:tcPr>
            <w:tcW w:w="1395" w:type="dxa"/>
            <w:tcBorders>
              <w:top w:val="nil"/>
              <w:left w:val="nil"/>
              <w:bottom w:val="nil"/>
              <w:right w:val="nil"/>
            </w:tcBorders>
            <w:noWrap/>
            <w:vAlign w:val="center"/>
            <w:hideMark/>
          </w:tcPr>
          <w:p w14:paraId="7D2553F2"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18 abc</w:t>
            </w:r>
          </w:p>
        </w:tc>
      </w:tr>
      <w:tr w:rsidR="007E78DD" w:rsidRPr="00B16E15" w14:paraId="23A527C9" w14:textId="77777777" w:rsidTr="005E71C0">
        <w:trPr>
          <w:trHeight w:val="342"/>
        </w:trPr>
        <w:tc>
          <w:tcPr>
            <w:tcW w:w="1865" w:type="dxa"/>
            <w:tcBorders>
              <w:top w:val="nil"/>
              <w:left w:val="nil"/>
              <w:bottom w:val="nil"/>
              <w:right w:val="nil"/>
            </w:tcBorders>
            <w:noWrap/>
            <w:hideMark/>
          </w:tcPr>
          <w:p w14:paraId="06E6CF34" w14:textId="4C390E76" w:rsidR="007E78DD" w:rsidRPr="00B16E15" w:rsidRDefault="007E78DD" w:rsidP="007E78DD">
            <w:pPr>
              <w:spacing w:after="0" w:line="360" w:lineRule="auto"/>
              <w:jc w:val="center"/>
              <w:rPr>
                <w:rFonts w:eastAsia="Times New Roman"/>
                <w:color w:val="000000"/>
                <w:sz w:val="20"/>
                <w:szCs w:val="20"/>
                <w:lang w:eastAsia="en-ID"/>
              </w:rPr>
            </w:pPr>
            <w:r w:rsidRPr="00B16E15">
              <w:rPr>
                <w:sz w:val="20"/>
                <w:szCs w:val="20"/>
              </w:rPr>
              <w:t>B2S1</w:t>
            </w:r>
          </w:p>
        </w:tc>
        <w:tc>
          <w:tcPr>
            <w:tcW w:w="1134" w:type="dxa"/>
            <w:tcBorders>
              <w:top w:val="nil"/>
              <w:left w:val="nil"/>
              <w:bottom w:val="nil"/>
              <w:right w:val="nil"/>
            </w:tcBorders>
            <w:noWrap/>
            <w:vAlign w:val="center"/>
            <w:hideMark/>
          </w:tcPr>
          <w:p w14:paraId="5FA7BFFA"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158,3 c</w:t>
            </w:r>
          </w:p>
        </w:tc>
        <w:tc>
          <w:tcPr>
            <w:tcW w:w="1559" w:type="dxa"/>
            <w:tcBorders>
              <w:top w:val="nil"/>
              <w:left w:val="nil"/>
              <w:bottom w:val="nil"/>
              <w:right w:val="nil"/>
            </w:tcBorders>
            <w:noWrap/>
            <w:vAlign w:val="center"/>
            <w:hideMark/>
          </w:tcPr>
          <w:p w14:paraId="417CBB9A"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242,3 bcd</w:t>
            </w:r>
          </w:p>
        </w:tc>
        <w:tc>
          <w:tcPr>
            <w:tcW w:w="1559" w:type="dxa"/>
            <w:tcBorders>
              <w:top w:val="nil"/>
              <w:left w:val="nil"/>
              <w:bottom w:val="nil"/>
              <w:right w:val="nil"/>
            </w:tcBorders>
            <w:noWrap/>
            <w:vAlign w:val="center"/>
            <w:hideMark/>
          </w:tcPr>
          <w:p w14:paraId="6935DE5B"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353,3 c</w:t>
            </w:r>
          </w:p>
        </w:tc>
        <w:tc>
          <w:tcPr>
            <w:tcW w:w="1276" w:type="dxa"/>
            <w:tcBorders>
              <w:top w:val="nil"/>
              <w:left w:val="nil"/>
              <w:bottom w:val="nil"/>
              <w:right w:val="nil"/>
            </w:tcBorders>
            <w:noWrap/>
            <w:vAlign w:val="center"/>
            <w:hideMark/>
          </w:tcPr>
          <w:p w14:paraId="52A039FA"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67,5 c</w:t>
            </w:r>
          </w:p>
        </w:tc>
        <w:tc>
          <w:tcPr>
            <w:tcW w:w="1395" w:type="dxa"/>
            <w:tcBorders>
              <w:top w:val="nil"/>
              <w:left w:val="nil"/>
              <w:bottom w:val="nil"/>
              <w:right w:val="nil"/>
            </w:tcBorders>
            <w:noWrap/>
            <w:vAlign w:val="center"/>
            <w:hideMark/>
          </w:tcPr>
          <w:p w14:paraId="67DCFB64"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18,7 bc</w:t>
            </w:r>
          </w:p>
        </w:tc>
      </w:tr>
      <w:tr w:rsidR="007E78DD" w:rsidRPr="00B16E15" w14:paraId="21DBF169" w14:textId="77777777" w:rsidTr="005E71C0">
        <w:trPr>
          <w:trHeight w:val="342"/>
        </w:trPr>
        <w:tc>
          <w:tcPr>
            <w:tcW w:w="1865" w:type="dxa"/>
            <w:tcBorders>
              <w:top w:val="nil"/>
              <w:left w:val="nil"/>
              <w:bottom w:val="nil"/>
              <w:right w:val="nil"/>
            </w:tcBorders>
            <w:noWrap/>
            <w:hideMark/>
          </w:tcPr>
          <w:p w14:paraId="11F4188C" w14:textId="6A6B7693" w:rsidR="007E78DD" w:rsidRPr="00B16E15" w:rsidRDefault="007E78DD" w:rsidP="007E78DD">
            <w:pPr>
              <w:spacing w:after="0" w:line="360" w:lineRule="auto"/>
              <w:jc w:val="center"/>
              <w:rPr>
                <w:rFonts w:eastAsia="Times New Roman"/>
                <w:color w:val="000000"/>
                <w:sz w:val="20"/>
                <w:szCs w:val="20"/>
                <w:lang w:eastAsia="en-ID"/>
              </w:rPr>
            </w:pPr>
            <w:r w:rsidRPr="00B16E15">
              <w:rPr>
                <w:sz w:val="20"/>
                <w:szCs w:val="20"/>
              </w:rPr>
              <w:t>B2S2</w:t>
            </w:r>
          </w:p>
        </w:tc>
        <w:tc>
          <w:tcPr>
            <w:tcW w:w="1134" w:type="dxa"/>
            <w:tcBorders>
              <w:top w:val="nil"/>
              <w:left w:val="nil"/>
              <w:bottom w:val="nil"/>
              <w:right w:val="nil"/>
            </w:tcBorders>
            <w:noWrap/>
            <w:vAlign w:val="center"/>
            <w:hideMark/>
          </w:tcPr>
          <w:p w14:paraId="5C5E741F"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178,2 d</w:t>
            </w:r>
          </w:p>
        </w:tc>
        <w:tc>
          <w:tcPr>
            <w:tcW w:w="1559" w:type="dxa"/>
            <w:tcBorders>
              <w:top w:val="nil"/>
              <w:left w:val="nil"/>
              <w:bottom w:val="nil"/>
              <w:right w:val="nil"/>
            </w:tcBorders>
            <w:noWrap/>
            <w:vAlign w:val="center"/>
            <w:hideMark/>
          </w:tcPr>
          <w:p w14:paraId="2E99AB1F"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294,7 d</w:t>
            </w:r>
          </w:p>
        </w:tc>
        <w:tc>
          <w:tcPr>
            <w:tcW w:w="1559" w:type="dxa"/>
            <w:tcBorders>
              <w:top w:val="nil"/>
              <w:left w:val="nil"/>
              <w:bottom w:val="nil"/>
              <w:right w:val="nil"/>
            </w:tcBorders>
            <w:noWrap/>
            <w:vAlign w:val="center"/>
            <w:hideMark/>
          </w:tcPr>
          <w:p w14:paraId="58468047"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423,7 d</w:t>
            </w:r>
          </w:p>
        </w:tc>
        <w:tc>
          <w:tcPr>
            <w:tcW w:w="1276" w:type="dxa"/>
            <w:tcBorders>
              <w:top w:val="nil"/>
              <w:left w:val="nil"/>
              <w:bottom w:val="nil"/>
              <w:right w:val="nil"/>
            </w:tcBorders>
            <w:noWrap/>
            <w:vAlign w:val="center"/>
            <w:hideMark/>
          </w:tcPr>
          <w:p w14:paraId="23B41097"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82,7 d</w:t>
            </w:r>
          </w:p>
        </w:tc>
        <w:tc>
          <w:tcPr>
            <w:tcW w:w="1395" w:type="dxa"/>
            <w:tcBorders>
              <w:top w:val="nil"/>
              <w:left w:val="nil"/>
              <w:bottom w:val="nil"/>
              <w:right w:val="nil"/>
            </w:tcBorders>
            <w:noWrap/>
            <w:vAlign w:val="center"/>
            <w:hideMark/>
          </w:tcPr>
          <w:p w14:paraId="4DED40CE"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24,7 d</w:t>
            </w:r>
          </w:p>
        </w:tc>
      </w:tr>
      <w:tr w:rsidR="007E78DD" w:rsidRPr="00B16E15" w14:paraId="2094C143" w14:textId="77777777" w:rsidTr="005E71C0">
        <w:trPr>
          <w:trHeight w:val="342"/>
        </w:trPr>
        <w:tc>
          <w:tcPr>
            <w:tcW w:w="1865" w:type="dxa"/>
            <w:tcBorders>
              <w:top w:val="nil"/>
              <w:left w:val="nil"/>
              <w:bottom w:val="nil"/>
              <w:right w:val="nil"/>
            </w:tcBorders>
            <w:noWrap/>
            <w:hideMark/>
          </w:tcPr>
          <w:p w14:paraId="0DC90311" w14:textId="16B050A4" w:rsidR="007E78DD" w:rsidRPr="00B16E15" w:rsidRDefault="007E78DD" w:rsidP="007E78DD">
            <w:pPr>
              <w:spacing w:after="0" w:line="360" w:lineRule="auto"/>
              <w:jc w:val="center"/>
              <w:rPr>
                <w:rFonts w:eastAsia="Times New Roman"/>
                <w:color w:val="000000"/>
                <w:sz w:val="20"/>
                <w:szCs w:val="20"/>
                <w:lang w:eastAsia="en-ID"/>
              </w:rPr>
            </w:pPr>
            <w:r w:rsidRPr="00B16E15">
              <w:rPr>
                <w:sz w:val="20"/>
                <w:szCs w:val="20"/>
              </w:rPr>
              <w:t>B2S3</w:t>
            </w:r>
          </w:p>
        </w:tc>
        <w:tc>
          <w:tcPr>
            <w:tcW w:w="1134" w:type="dxa"/>
            <w:tcBorders>
              <w:top w:val="nil"/>
              <w:left w:val="nil"/>
              <w:bottom w:val="nil"/>
              <w:right w:val="nil"/>
            </w:tcBorders>
            <w:noWrap/>
            <w:vAlign w:val="center"/>
            <w:hideMark/>
          </w:tcPr>
          <w:p w14:paraId="7387664F"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141,7 bc</w:t>
            </w:r>
          </w:p>
        </w:tc>
        <w:tc>
          <w:tcPr>
            <w:tcW w:w="1559" w:type="dxa"/>
            <w:tcBorders>
              <w:top w:val="nil"/>
              <w:left w:val="nil"/>
              <w:bottom w:val="nil"/>
              <w:right w:val="nil"/>
            </w:tcBorders>
            <w:noWrap/>
            <w:vAlign w:val="center"/>
            <w:hideMark/>
          </w:tcPr>
          <w:p w14:paraId="2C6CDB50"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270,8 cd</w:t>
            </w:r>
          </w:p>
        </w:tc>
        <w:tc>
          <w:tcPr>
            <w:tcW w:w="1559" w:type="dxa"/>
            <w:tcBorders>
              <w:top w:val="nil"/>
              <w:left w:val="nil"/>
              <w:bottom w:val="nil"/>
              <w:right w:val="nil"/>
            </w:tcBorders>
            <w:noWrap/>
            <w:vAlign w:val="center"/>
            <w:hideMark/>
          </w:tcPr>
          <w:p w14:paraId="67265437"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369,8 cd</w:t>
            </w:r>
          </w:p>
        </w:tc>
        <w:tc>
          <w:tcPr>
            <w:tcW w:w="1276" w:type="dxa"/>
            <w:tcBorders>
              <w:top w:val="nil"/>
              <w:left w:val="nil"/>
              <w:bottom w:val="nil"/>
              <w:right w:val="nil"/>
            </w:tcBorders>
            <w:noWrap/>
            <w:vAlign w:val="center"/>
            <w:hideMark/>
          </w:tcPr>
          <w:p w14:paraId="4479BF1C"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68,5 c</w:t>
            </w:r>
          </w:p>
        </w:tc>
        <w:tc>
          <w:tcPr>
            <w:tcW w:w="1395" w:type="dxa"/>
            <w:tcBorders>
              <w:top w:val="nil"/>
              <w:left w:val="nil"/>
              <w:bottom w:val="nil"/>
              <w:right w:val="nil"/>
            </w:tcBorders>
            <w:noWrap/>
            <w:vAlign w:val="center"/>
            <w:hideMark/>
          </w:tcPr>
          <w:p w14:paraId="0DA57C0D"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19,3 c</w:t>
            </w:r>
          </w:p>
        </w:tc>
      </w:tr>
      <w:tr w:rsidR="007E78DD" w:rsidRPr="00B16E15" w14:paraId="1CEF4E23" w14:textId="77777777" w:rsidTr="005E71C0">
        <w:trPr>
          <w:trHeight w:val="342"/>
        </w:trPr>
        <w:tc>
          <w:tcPr>
            <w:tcW w:w="1865" w:type="dxa"/>
            <w:tcBorders>
              <w:top w:val="nil"/>
              <w:left w:val="nil"/>
              <w:bottom w:val="nil"/>
              <w:right w:val="nil"/>
            </w:tcBorders>
            <w:noWrap/>
            <w:hideMark/>
          </w:tcPr>
          <w:p w14:paraId="05C6E635" w14:textId="2D7430CF" w:rsidR="007E78DD" w:rsidRPr="00B16E15" w:rsidRDefault="007E78DD" w:rsidP="007E78DD">
            <w:pPr>
              <w:spacing w:after="0" w:line="360" w:lineRule="auto"/>
              <w:jc w:val="center"/>
              <w:rPr>
                <w:rFonts w:eastAsia="Times New Roman"/>
                <w:color w:val="000000"/>
                <w:sz w:val="20"/>
                <w:szCs w:val="20"/>
                <w:lang w:eastAsia="en-ID"/>
              </w:rPr>
            </w:pPr>
            <w:r w:rsidRPr="00B16E15">
              <w:rPr>
                <w:sz w:val="20"/>
                <w:szCs w:val="20"/>
              </w:rPr>
              <w:t>B3S1</w:t>
            </w:r>
          </w:p>
        </w:tc>
        <w:tc>
          <w:tcPr>
            <w:tcW w:w="1134" w:type="dxa"/>
            <w:tcBorders>
              <w:top w:val="nil"/>
              <w:left w:val="nil"/>
              <w:bottom w:val="nil"/>
              <w:right w:val="nil"/>
            </w:tcBorders>
            <w:noWrap/>
            <w:vAlign w:val="center"/>
            <w:hideMark/>
          </w:tcPr>
          <w:p w14:paraId="3A7A41F1"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136,7 ab</w:t>
            </w:r>
          </w:p>
        </w:tc>
        <w:tc>
          <w:tcPr>
            <w:tcW w:w="1559" w:type="dxa"/>
            <w:tcBorders>
              <w:top w:val="nil"/>
              <w:left w:val="nil"/>
              <w:bottom w:val="nil"/>
              <w:right w:val="nil"/>
            </w:tcBorders>
            <w:noWrap/>
            <w:vAlign w:val="center"/>
            <w:hideMark/>
          </w:tcPr>
          <w:p w14:paraId="7F408759"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174,8 ab</w:t>
            </w:r>
          </w:p>
        </w:tc>
        <w:tc>
          <w:tcPr>
            <w:tcW w:w="1559" w:type="dxa"/>
            <w:tcBorders>
              <w:top w:val="nil"/>
              <w:left w:val="nil"/>
              <w:bottom w:val="nil"/>
              <w:right w:val="nil"/>
            </w:tcBorders>
            <w:noWrap/>
            <w:vAlign w:val="center"/>
            <w:hideMark/>
          </w:tcPr>
          <w:p w14:paraId="69956880"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275,8 a</w:t>
            </w:r>
          </w:p>
        </w:tc>
        <w:tc>
          <w:tcPr>
            <w:tcW w:w="1276" w:type="dxa"/>
            <w:tcBorders>
              <w:top w:val="nil"/>
              <w:left w:val="nil"/>
              <w:bottom w:val="nil"/>
              <w:right w:val="nil"/>
            </w:tcBorders>
            <w:noWrap/>
            <w:vAlign w:val="center"/>
            <w:hideMark/>
          </w:tcPr>
          <w:p w14:paraId="23D6EA6B"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50,3 ab</w:t>
            </w:r>
          </w:p>
        </w:tc>
        <w:tc>
          <w:tcPr>
            <w:tcW w:w="1395" w:type="dxa"/>
            <w:tcBorders>
              <w:top w:val="nil"/>
              <w:left w:val="nil"/>
              <w:bottom w:val="nil"/>
              <w:right w:val="nil"/>
            </w:tcBorders>
            <w:noWrap/>
            <w:vAlign w:val="center"/>
            <w:hideMark/>
          </w:tcPr>
          <w:p w14:paraId="06EBBE47" w14:textId="77777777" w:rsidR="007E78DD" w:rsidRPr="00B16E15" w:rsidRDefault="007E78DD" w:rsidP="007E78DD">
            <w:pPr>
              <w:spacing w:after="0" w:line="360" w:lineRule="auto"/>
              <w:jc w:val="center"/>
              <w:rPr>
                <w:rFonts w:eastAsia="Times New Roman"/>
                <w:sz w:val="20"/>
                <w:szCs w:val="20"/>
                <w:lang w:eastAsia="en-ID"/>
              </w:rPr>
            </w:pPr>
            <w:r w:rsidRPr="00B16E15">
              <w:rPr>
                <w:rFonts w:eastAsia="Times New Roman"/>
                <w:sz w:val="20"/>
                <w:szCs w:val="20"/>
                <w:lang w:eastAsia="en-ID"/>
              </w:rPr>
              <w:t>15,7 ab</w:t>
            </w:r>
          </w:p>
        </w:tc>
      </w:tr>
      <w:tr w:rsidR="007E78DD" w:rsidRPr="00B16E15" w14:paraId="0C7CAC9A" w14:textId="77777777" w:rsidTr="005E71C0">
        <w:trPr>
          <w:trHeight w:val="342"/>
        </w:trPr>
        <w:tc>
          <w:tcPr>
            <w:tcW w:w="1865" w:type="dxa"/>
            <w:tcBorders>
              <w:top w:val="nil"/>
              <w:left w:val="nil"/>
              <w:bottom w:val="nil"/>
              <w:right w:val="nil"/>
            </w:tcBorders>
            <w:noWrap/>
            <w:hideMark/>
          </w:tcPr>
          <w:p w14:paraId="23954BDD" w14:textId="42609FB9" w:rsidR="007E78DD" w:rsidRPr="00B16E15" w:rsidRDefault="007E78DD" w:rsidP="007E78DD">
            <w:pPr>
              <w:spacing w:after="0" w:line="360" w:lineRule="auto"/>
              <w:jc w:val="center"/>
              <w:rPr>
                <w:rFonts w:eastAsia="Times New Roman"/>
                <w:color w:val="000000"/>
                <w:sz w:val="20"/>
                <w:szCs w:val="20"/>
                <w:lang w:eastAsia="en-ID"/>
              </w:rPr>
            </w:pPr>
            <w:r w:rsidRPr="00B16E15">
              <w:rPr>
                <w:sz w:val="20"/>
                <w:szCs w:val="20"/>
              </w:rPr>
              <w:t>B3S2</w:t>
            </w:r>
          </w:p>
        </w:tc>
        <w:tc>
          <w:tcPr>
            <w:tcW w:w="1134" w:type="dxa"/>
            <w:tcBorders>
              <w:top w:val="nil"/>
              <w:left w:val="nil"/>
              <w:bottom w:val="nil"/>
              <w:right w:val="nil"/>
            </w:tcBorders>
            <w:noWrap/>
            <w:vAlign w:val="center"/>
            <w:hideMark/>
          </w:tcPr>
          <w:p w14:paraId="318C2B23"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122 a</w:t>
            </w:r>
          </w:p>
        </w:tc>
        <w:tc>
          <w:tcPr>
            <w:tcW w:w="1559" w:type="dxa"/>
            <w:tcBorders>
              <w:top w:val="nil"/>
              <w:left w:val="nil"/>
              <w:bottom w:val="nil"/>
              <w:right w:val="nil"/>
            </w:tcBorders>
            <w:noWrap/>
            <w:vAlign w:val="center"/>
            <w:hideMark/>
          </w:tcPr>
          <w:p w14:paraId="695FACFD"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169,2 a</w:t>
            </w:r>
          </w:p>
        </w:tc>
        <w:tc>
          <w:tcPr>
            <w:tcW w:w="1559" w:type="dxa"/>
            <w:tcBorders>
              <w:top w:val="nil"/>
              <w:left w:val="nil"/>
              <w:bottom w:val="nil"/>
              <w:right w:val="nil"/>
            </w:tcBorders>
            <w:noWrap/>
            <w:vAlign w:val="center"/>
            <w:hideMark/>
          </w:tcPr>
          <w:p w14:paraId="167C467F"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245,8 a</w:t>
            </w:r>
          </w:p>
        </w:tc>
        <w:tc>
          <w:tcPr>
            <w:tcW w:w="1276" w:type="dxa"/>
            <w:tcBorders>
              <w:top w:val="nil"/>
              <w:left w:val="nil"/>
              <w:bottom w:val="nil"/>
              <w:right w:val="nil"/>
            </w:tcBorders>
            <w:noWrap/>
            <w:vAlign w:val="center"/>
            <w:hideMark/>
          </w:tcPr>
          <w:p w14:paraId="38A92EC9"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45,2 a</w:t>
            </w:r>
          </w:p>
        </w:tc>
        <w:tc>
          <w:tcPr>
            <w:tcW w:w="1395" w:type="dxa"/>
            <w:tcBorders>
              <w:top w:val="nil"/>
              <w:left w:val="nil"/>
              <w:bottom w:val="nil"/>
              <w:right w:val="nil"/>
            </w:tcBorders>
            <w:noWrap/>
            <w:vAlign w:val="center"/>
            <w:hideMark/>
          </w:tcPr>
          <w:p w14:paraId="4D7494C8"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14,7 a</w:t>
            </w:r>
          </w:p>
        </w:tc>
      </w:tr>
      <w:tr w:rsidR="007E78DD" w:rsidRPr="00B16E15" w14:paraId="6B764B57" w14:textId="77777777" w:rsidTr="005E71C0">
        <w:trPr>
          <w:trHeight w:val="342"/>
        </w:trPr>
        <w:tc>
          <w:tcPr>
            <w:tcW w:w="1865" w:type="dxa"/>
            <w:tcBorders>
              <w:top w:val="nil"/>
              <w:left w:val="nil"/>
              <w:bottom w:val="single" w:sz="18" w:space="0" w:color="auto"/>
              <w:right w:val="nil"/>
            </w:tcBorders>
            <w:noWrap/>
            <w:hideMark/>
          </w:tcPr>
          <w:p w14:paraId="25F651A9" w14:textId="117F2BD0" w:rsidR="007E78DD" w:rsidRPr="00B16E15" w:rsidRDefault="007E78DD" w:rsidP="007E78DD">
            <w:pPr>
              <w:spacing w:after="0" w:line="360" w:lineRule="auto"/>
              <w:jc w:val="center"/>
              <w:rPr>
                <w:rFonts w:eastAsia="Times New Roman"/>
                <w:color w:val="000000"/>
                <w:sz w:val="20"/>
                <w:szCs w:val="20"/>
                <w:lang w:eastAsia="en-ID"/>
              </w:rPr>
            </w:pPr>
            <w:r w:rsidRPr="00B16E15">
              <w:rPr>
                <w:sz w:val="20"/>
                <w:szCs w:val="20"/>
              </w:rPr>
              <w:t>B3S3</w:t>
            </w:r>
          </w:p>
        </w:tc>
        <w:tc>
          <w:tcPr>
            <w:tcW w:w="1134" w:type="dxa"/>
            <w:tcBorders>
              <w:top w:val="nil"/>
              <w:left w:val="nil"/>
              <w:bottom w:val="single" w:sz="18" w:space="0" w:color="auto"/>
              <w:right w:val="nil"/>
            </w:tcBorders>
            <w:noWrap/>
            <w:vAlign w:val="center"/>
            <w:hideMark/>
          </w:tcPr>
          <w:p w14:paraId="75A77F55"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133 ab</w:t>
            </w:r>
          </w:p>
        </w:tc>
        <w:tc>
          <w:tcPr>
            <w:tcW w:w="1559" w:type="dxa"/>
            <w:tcBorders>
              <w:top w:val="nil"/>
              <w:left w:val="nil"/>
              <w:bottom w:val="single" w:sz="18" w:space="0" w:color="auto"/>
              <w:right w:val="nil"/>
            </w:tcBorders>
            <w:noWrap/>
            <w:vAlign w:val="center"/>
            <w:hideMark/>
          </w:tcPr>
          <w:p w14:paraId="35CCCFE6"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177,5 ab</w:t>
            </w:r>
          </w:p>
        </w:tc>
        <w:tc>
          <w:tcPr>
            <w:tcW w:w="1559" w:type="dxa"/>
            <w:tcBorders>
              <w:top w:val="nil"/>
              <w:left w:val="nil"/>
              <w:bottom w:val="single" w:sz="18" w:space="0" w:color="auto"/>
              <w:right w:val="nil"/>
            </w:tcBorders>
            <w:noWrap/>
            <w:vAlign w:val="center"/>
            <w:hideMark/>
          </w:tcPr>
          <w:p w14:paraId="0D507350"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253,8 a</w:t>
            </w:r>
          </w:p>
        </w:tc>
        <w:tc>
          <w:tcPr>
            <w:tcW w:w="1276" w:type="dxa"/>
            <w:tcBorders>
              <w:top w:val="nil"/>
              <w:left w:val="nil"/>
              <w:bottom w:val="single" w:sz="18" w:space="0" w:color="auto"/>
              <w:right w:val="nil"/>
            </w:tcBorders>
            <w:noWrap/>
            <w:vAlign w:val="center"/>
            <w:hideMark/>
          </w:tcPr>
          <w:p w14:paraId="626485D9"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52,3 ab</w:t>
            </w:r>
          </w:p>
        </w:tc>
        <w:tc>
          <w:tcPr>
            <w:tcW w:w="1395" w:type="dxa"/>
            <w:tcBorders>
              <w:top w:val="nil"/>
              <w:left w:val="nil"/>
              <w:bottom w:val="single" w:sz="18" w:space="0" w:color="auto"/>
              <w:right w:val="nil"/>
            </w:tcBorders>
            <w:noWrap/>
            <w:vAlign w:val="center"/>
            <w:hideMark/>
          </w:tcPr>
          <w:p w14:paraId="456FC21A" w14:textId="77777777" w:rsidR="007E78DD" w:rsidRPr="00B16E15" w:rsidRDefault="007E78DD" w:rsidP="007E78DD">
            <w:pPr>
              <w:spacing w:after="0" w:line="360" w:lineRule="auto"/>
              <w:jc w:val="center"/>
              <w:rPr>
                <w:rFonts w:eastAsia="Times New Roman"/>
                <w:color w:val="000000"/>
                <w:sz w:val="20"/>
                <w:szCs w:val="20"/>
                <w:lang w:eastAsia="en-ID"/>
              </w:rPr>
            </w:pPr>
            <w:r w:rsidRPr="00B16E15">
              <w:rPr>
                <w:rFonts w:eastAsia="Times New Roman"/>
                <w:color w:val="000000"/>
                <w:sz w:val="20"/>
                <w:szCs w:val="20"/>
                <w:lang w:eastAsia="en-ID"/>
              </w:rPr>
              <w:t>16,3 abc</w:t>
            </w:r>
          </w:p>
        </w:tc>
      </w:tr>
    </w:tbl>
    <w:p w14:paraId="34353806" w14:textId="77777777" w:rsidR="00AF70F6" w:rsidRDefault="00AF70F6" w:rsidP="00AF70F6">
      <w:pPr>
        <w:tabs>
          <w:tab w:val="left" w:pos="450"/>
        </w:tabs>
        <w:snapToGrid w:val="0"/>
        <w:spacing w:after="0"/>
        <w:rPr>
          <w:rFonts w:ascii="Cambria" w:hAnsi="Cambria"/>
          <w:kern w:val="2"/>
          <w:sz w:val="24"/>
          <w:lang w:val="en-ID"/>
        </w:rPr>
      </w:pPr>
    </w:p>
    <w:p w14:paraId="5456AFA3" w14:textId="77777777" w:rsidR="0019351E" w:rsidRDefault="0019351E" w:rsidP="0019351E">
      <w:pPr>
        <w:tabs>
          <w:tab w:val="left" w:pos="450"/>
        </w:tabs>
        <w:spacing w:after="0"/>
        <w:ind w:left="426"/>
        <w:rPr>
          <w:rFonts w:ascii="Cambria" w:hAnsi="Cambria"/>
          <w:bCs/>
          <w:kern w:val="2"/>
          <w:sz w:val="24"/>
        </w:rPr>
      </w:pPr>
      <w:r>
        <w:rPr>
          <w:rFonts w:ascii="Cambria" w:hAnsi="Cambria"/>
          <w:bCs/>
          <w:kern w:val="2"/>
          <w:sz w:val="24"/>
        </w:rPr>
        <w:t>Note:</w:t>
      </w:r>
    </w:p>
    <w:p w14:paraId="49603182" w14:textId="77777777" w:rsidR="0019351E" w:rsidRPr="009A3F8F" w:rsidRDefault="0019351E" w:rsidP="0019351E">
      <w:pPr>
        <w:pStyle w:val="ListParagraph"/>
        <w:numPr>
          <w:ilvl w:val="0"/>
          <w:numId w:val="6"/>
        </w:numPr>
        <w:tabs>
          <w:tab w:val="left" w:pos="450"/>
        </w:tabs>
        <w:spacing w:after="0"/>
        <w:rPr>
          <w:rFonts w:ascii="Cambria" w:hAnsi="Cambria"/>
          <w:sz w:val="24"/>
        </w:rPr>
      </w:pPr>
      <w:r w:rsidRPr="00CC082C">
        <w:rPr>
          <w:rFonts w:ascii="Cambria" w:hAnsi="Cambria"/>
          <w:sz w:val="24"/>
        </w:rPr>
        <w:t>B</w:t>
      </w:r>
      <w:r>
        <w:rPr>
          <w:rFonts w:ascii="Cambria" w:hAnsi="Cambria"/>
          <w:sz w:val="24"/>
        </w:rPr>
        <w:t xml:space="preserve">1 - B3 = </w:t>
      </w:r>
      <w:r w:rsidRPr="00CC082C">
        <w:rPr>
          <w:rFonts w:ascii="Cambria" w:hAnsi="Cambria"/>
          <w:sz w:val="24"/>
        </w:rPr>
        <w:t xml:space="preserve">liquid organic fertilizer </w:t>
      </w:r>
      <w:r w:rsidRPr="0019351E">
        <w:rPr>
          <w:rFonts w:ascii="Cambria" w:hAnsi="Cambria"/>
          <w:sz w:val="24"/>
          <w:lang w:val="en-GB"/>
        </w:rPr>
        <w:t>dosage levels</w:t>
      </w:r>
    </w:p>
    <w:p w14:paraId="0A58145B" w14:textId="77777777" w:rsidR="0019351E" w:rsidRDefault="0019351E" w:rsidP="0019351E">
      <w:pPr>
        <w:pStyle w:val="ListParagraph"/>
        <w:numPr>
          <w:ilvl w:val="0"/>
          <w:numId w:val="6"/>
        </w:numPr>
        <w:tabs>
          <w:tab w:val="left" w:pos="450"/>
        </w:tabs>
        <w:spacing w:after="0"/>
        <w:rPr>
          <w:rFonts w:ascii="Cambria" w:hAnsi="Cambria"/>
          <w:sz w:val="24"/>
        </w:rPr>
      </w:pPr>
      <w:r>
        <w:rPr>
          <w:rFonts w:ascii="Cambria" w:hAnsi="Cambria"/>
          <w:sz w:val="24"/>
        </w:rPr>
        <w:t xml:space="preserve">S1 - S3 = </w:t>
      </w:r>
      <w:r w:rsidRPr="00CC082C">
        <w:rPr>
          <w:rFonts w:ascii="Cambria" w:hAnsi="Cambria"/>
          <w:sz w:val="24"/>
        </w:rPr>
        <w:t>NPK fertilizer</w:t>
      </w:r>
      <w:r>
        <w:rPr>
          <w:rFonts w:ascii="Cambria" w:hAnsi="Cambria"/>
          <w:sz w:val="24"/>
        </w:rPr>
        <w:t xml:space="preserve"> </w:t>
      </w:r>
      <w:r w:rsidRPr="0019351E">
        <w:rPr>
          <w:rFonts w:ascii="Cambria" w:hAnsi="Cambria"/>
          <w:sz w:val="24"/>
          <w:lang w:val="en-GB"/>
        </w:rPr>
        <w:t>dosage levels</w:t>
      </w:r>
    </w:p>
    <w:p w14:paraId="5C2AB404" w14:textId="77777777" w:rsidR="00F8301A" w:rsidRDefault="0019351E" w:rsidP="00F8301A">
      <w:pPr>
        <w:pStyle w:val="ListParagraph"/>
        <w:numPr>
          <w:ilvl w:val="0"/>
          <w:numId w:val="6"/>
        </w:numPr>
        <w:tabs>
          <w:tab w:val="left" w:pos="450"/>
        </w:tabs>
        <w:spacing w:after="0"/>
        <w:rPr>
          <w:rFonts w:ascii="Cambria" w:hAnsi="Cambria"/>
          <w:sz w:val="24"/>
        </w:rPr>
      </w:pPr>
      <w:r>
        <w:rPr>
          <w:rFonts w:ascii="Cambria" w:hAnsi="Cambria"/>
          <w:sz w:val="24"/>
        </w:rPr>
        <w:t>a, ab, bc, c = different lowercase letters</w:t>
      </w:r>
    </w:p>
    <w:p w14:paraId="36358E82" w14:textId="77777777" w:rsidR="00F8301A" w:rsidRDefault="00F8301A" w:rsidP="00F8301A">
      <w:pPr>
        <w:tabs>
          <w:tab w:val="left" w:pos="450"/>
        </w:tabs>
        <w:spacing w:after="0"/>
        <w:ind w:left="426"/>
        <w:rPr>
          <w:rFonts w:ascii="Cambria" w:hAnsi="Cambria"/>
          <w:sz w:val="24"/>
        </w:rPr>
      </w:pPr>
      <w:r>
        <w:rPr>
          <w:rFonts w:ascii="Cambria" w:hAnsi="Cambria"/>
          <w:kern w:val="2"/>
          <w:sz w:val="24"/>
          <w:lang w:val="en-ID"/>
        </w:rPr>
        <w:tab/>
      </w:r>
      <w:r>
        <w:rPr>
          <w:rFonts w:ascii="Cambria" w:hAnsi="Cambria"/>
          <w:kern w:val="2"/>
          <w:sz w:val="24"/>
          <w:lang w:val="en-ID"/>
        </w:rPr>
        <w:tab/>
      </w:r>
      <w:r w:rsidR="004930D7" w:rsidRPr="00F8301A">
        <w:rPr>
          <w:rFonts w:ascii="Cambria" w:hAnsi="Cambria"/>
          <w:kern w:val="2"/>
          <w:sz w:val="24"/>
          <w:lang w:val="en-ID"/>
        </w:rPr>
        <w:t>The B2S2 treatment produced the highest number of pods (178.2 pods), pod weight (294.7 g), number of seeds (423.7), seed weight (82.7 g), and 100-seed weight (24.7 g). These findings demonstrate that optimum nutrient availability during both vegetative and reproductive growth stages substantially enhanced soybean productivity. The interaction between nano-based biofertilizer and balanced NPK fertilization enabled soybean plants to efficiently utilize nutrients throughout their growth cycle, thereby promoting superior reproductive performance.</w:t>
      </w:r>
    </w:p>
    <w:p w14:paraId="1CE6CDCB" w14:textId="77777777" w:rsidR="006557A9" w:rsidRDefault="00F8301A" w:rsidP="006557A9">
      <w:pPr>
        <w:tabs>
          <w:tab w:val="left" w:pos="426"/>
        </w:tabs>
        <w:spacing w:after="0"/>
        <w:ind w:left="426"/>
        <w:rPr>
          <w:rFonts w:ascii="Cambria" w:hAnsi="Cambria"/>
          <w:kern w:val="2"/>
          <w:sz w:val="24"/>
          <w:lang w:val="en-ID"/>
        </w:rPr>
      </w:pPr>
      <w:r>
        <w:rPr>
          <w:rFonts w:ascii="Cambria" w:hAnsi="Cambria"/>
          <w:sz w:val="24"/>
        </w:rPr>
        <w:tab/>
      </w:r>
      <w:r>
        <w:rPr>
          <w:rFonts w:ascii="Cambria" w:hAnsi="Cambria"/>
          <w:sz w:val="24"/>
        </w:rPr>
        <w:tab/>
      </w:r>
      <w:r w:rsidR="004930D7" w:rsidRPr="008B5DD5">
        <w:rPr>
          <w:rFonts w:ascii="Cambria" w:hAnsi="Cambria"/>
          <w:kern w:val="2"/>
          <w:sz w:val="24"/>
          <w:lang w:val="en-ID"/>
        </w:rPr>
        <w:t>The increased number of pods obtained under the B2S2 treatment is closely associated</w:t>
      </w:r>
      <w:r w:rsidR="00AA3AC2">
        <w:rPr>
          <w:rFonts w:ascii="Cambria" w:hAnsi="Cambria"/>
          <w:kern w:val="2"/>
          <w:sz w:val="24"/>
          <w:lang w:val="en-ID"/>
        </w:rPr>
        <w:t xml:space="preserve"> </w:t>
      </w:r>
      <w:r w:rsidR="004930D7" w:rsidRPr="008B5DD5">
        <w:rPr>
          <w:rFonts w:ascii="Cambria" w:hAnsi="Cambria"/>
          <w:kern w:val="2"/>
          <w:sz w:val="24"/>
          <w:lang w:val="en-ID"/>
        </w:rPr>
        <w:t>with improved photosynthetic efficiency and assimilate accumulation during reproductive development. Pod formation in soybean plants is highly dependent on nutrient availability, particularly phosphorus and potassium, which regulate floral initiation, assimilate translocation, and pod filling processes. Consequently, greater assimilate production contributes not only to increased pod number but also to improved pod weight and seed formation. Similar physiological responses have been reported in soybean plants receiving balanced fertilization treatments under tropical cultivation conditions (Roswy &amp; Sudiarso, 2022)</w:t>
      </w:r>
      <w:r w:rsidR="00865A9B">
        <w:rPr>
          <w:rFonts w:ascii="Cambria" w:hAnsi="Cambria"/>
          <w:kern w:val="2"/>
          <w:sz w:val="24"/>
          <w:lang w:val="en-ID"/>
        </w:rPr>
        <w:t>.</w:t>
      </w:r>
    </w:p>
    <w:p w14:paraId="486A99C7" w14:textId="77777777" w:rsidR="006557A9" w:rsidRDefault="006557A9" w:rsidP="006557A9">
      <w:pPr>
        <w:tabs>
          <w:tab w:val="left" w:pos="426"/>
        </w:tabs>
        <w:spacing w:after="0"/>
        <w:ind w:left="426"/>
        <w:rPr>
          <w:rFonts w:ascii="Cambria" w:hAnsi="Cambria"/>
          <w:kern w:val="2"/>
          <w:sz w:val="24"/>
          <w:lang w:val="en-ID"/>
        </w:rPr>
      </w:pPr>
      <w:r>
        <w:rPr>
          <w:rFonts w:ascii="Cambria" w:hAnsi="Cambria"/>
          <w:kern w:val="2"/>
          <w:sz w:val="24"/>
          <w:lang w:val="en-ID"/>
        </w:rPr>
        <w:tab/>
      </w:r>
      <w:r w:rsidR="004930D7" w:rsidRPr="008B5DD5">
        <w:rPr>
          <w:rFonts w:ascii="Cambria" w:hAnsi="Cambria"/>
          <w:kern w:val="2"/>
          <w:sz w:val="24"/>
          <w:lang w:val="en-ID"/>
        </w:rPr>
        <w:t xml:space="preserve">Furthermore, increased pod production was positively associated with improvements in both the number of seeds and seed weight. Soybean plants producing greater numbers of pods generally exhibit enhanced assimilate translocation toward reproductive organs, thereby facilitating more efficient seed development. Nitrogen contributes substantially to protein synthesis during seed formation, whereas phosphorus and potassium are required for energy transfer processes and carbohydrate translocation throughout seed filling stages. </w:t>
      </w:r>
      <w:r w:rsidR="00542638">
        <w:rPr>
          <w:rFonts w:ascii="Cambria" w:hAnsi="Cambria"/>
          <w:kern w:val="2"/>
          <w:sz w:val="24"/>
        </w:rPr>
        <w:t xml:space="preserve"> </w:t>
      </w:r>
      <w:r w:rsidR="004930D7" w:rsidRPr="008B5DD5">
        <w:rPr>
          <w:rFonts w:ascii="Cambria" w:hAnsi="Cambria"/>
          <w:kern w:val="2"/>
          <w:sz w:val="24"/>
          <w:lang w:val="en-ID"/>
        </w:rPr>
        <w:t xml:space="preserve">The highest 100-seed weight observed in the B2S2 treatment further indicates that nutrient availability remained sufficient during the later stages of reproductive growth. </w:t>
      </w:r>
    </w:p>
    <w:p w14:paraId="0153D265" w14:textId="0A44EF18" w:rsidR="006557A9" w:rsidRDefault="006557A9" w:rsidP="00B16E15">
      <w:pPr>
        <w:tabs>
          <w:tab w:val="left" w:pos="450"/>
        </w:tabs>
        <w:spacing w:after="0"/>
        <w:ind w:left="360" w:hanging="360"/>
        <w:rPr>
          <w:rFonts w:ascii="Cambria" w:hAnsi="Cambria"/>
          <w:sz w:val="24"/>
        </w:rPr>
      </w:pPr>
      <w:r>
        <w:rPr>
          <w:rFonts w:ascii="Cambria" w:hAnsi="Cambria"/>
          <w:kern w:val="2"/>
          <w:sz w:val="24"/>
          <w:lang w:val="en-ID"/>
        </w:rPr>
        <w:tab/>
      </w:r>
      <w:r w:rsidR="004930D7" w:rsidRPr="008B5DD5">
        <w:rPr>
          <w:rFonts w:ascii="Cambria" w:hAnsi="Cambria"/>
          <w:kern w:val="2"/>
          <w:sz w:val="24"/>
          <w:lang w:val="en-ID"/>
        </w:rPr>
        <w:t>Seed size and seed weight are important indicators of crop productivity because they</w:t>
      </w:r>
      <w:r w:rsidR="00B16E15">
        <w:rPr>
          <w:rFonts w:ascii="Cambria" w:hAnsi="Cambria"/>
          <w:kern w:val="2"/>
          <w:sz w:val="24"/>
          <w:lang w:val="en-ID"/>
        </w:rPr>
        <w:t xml:space="preserve"> </w:t>
      </w:r>
      <w:r w:rsidR="004930D7" w:rsidRPr="008B5DD5">
        <w:rPr>
          <w:rFonts w:ascii="Cambria" w:hAnsi="Cambria"/>
          <w:kern w:val="2"/>
          <w:sz w:val="24"/>
          <w:lang w:val="en-ID"/>
        </w:rPr>
        <w:t xml:space="preserve">reflect the effectiveness of assimilate accumulation during seed filling. Improved seed </w:t>
      </w:r>
      <w:r w:rsidR="004930D7" w:rsidRPr="008B5DD5">
        <w:rPr>
          <w:rFonts w:ascii="Cambria" w:hAnsi="Cambria"/>
          <w:kern w:val="2"/>
          <w:sz w:val="24"/>
          <w:lang w:val="en-ID"/>
        </w:rPr>
        <w:lastRenderedPageBreak/>
        <w:t>filling processes ultimately contribute to greater dry matter accumulation and superior seed quality.</w:t>
      </w:r>
      <w:r>
        <w:rPr>
          <w:rFonts w:ascii="Cambria" w:hAnsi="Cambria"/>
          <w:sz w:val="24"/>
        </w:rPr>
        <w:t xml:space="preserve"> </w:t>
      </w:r>
      <w:r w:rsidR="004930D7" w:rsidRPr="008B5DD5">
        <w:rPr>
          <w:rFonts w:ascii="Cambria" w:hAnsi="Cambria"/>
          <w:kern w:val="2"/>
          <w:sz w:val="24"/>
          <w:lang w:val="en-ID"/>
        </w:rPr>
        <w:t>The superior responses obtained under the B2S2 treatment may also be attributed to the synergistic interaction between the nano-enabled nutrient delivery mechanisms</w:t>
      </w:r>
      <w:r w:rsidR="00735554">
        <w:rPr>
          <w:rFonts w:ascii="Cambria" w:hAnsi="Cambria"/>
          <w:kern w:val="2"/>
          <w:sz w:val="24"/>
          <w:lang w:val="en-ID"/>
        </w:rPr>
        <w:t xml:space="preserve"> </w:t>
      </w:r>
      <w:r w:rsidR="004930D7" w:rsidRPr="008B5DD5">
        <w:rPr>
          <w:rFonts w:ascii="Cambria" w:hAnsi="Cambria"/>
          <w:kern w:val="2"/>
          <w:sz w:val="24"/>
          <w:lang w:val="en-ID"/>
        </w:rPr>
        <w:t xml:space="preserve">of bionanofertilizer and the balanced supply of macronutrients provided by NPK fertilizer. Beneficial microorganisms contained in biofertilizers improve nutrient solubilization and stimulate phytohormone production, thereby enhancing nutrient uptake efficiency and root development. The improved physiological performance resulting from these processes substantially contributes to both vegetative and reproductive growth </w:t>
      </w:r>
      <w:r w:rsidR="00E6759C">
        <w:rPr>
          <w:rFonts w:ascii="Cambria" w:hAnsi="Cambria"/>
          <w:kern w:val="2"/>
          <w:sz w:val="24"/>
          <w:lang w:val="en-ID"/>
        </w:rPr>
        <w:fldChar w:fldCharType="begin"/>
      </w:r>
      <w:r w:rsidR="00E6759C">
        <w:rPr>
          <w:rFonts w:ascii="Cambria" w:hAnsi="Cambria"/>
          <w:kern w:val="2"/>
          <w:sz w:val="24"/>
          <w:lang w:val="en-ID"/>
        </w:rPr>
        <w:instrText xml:space="preserve"> ADDIN ZOTERO_ITEM CSL_CITATION {"citationID":"Cfgcy1a8","properties":{"unsorted":false,"formattedCitation":"(Hindersah et al., 2020)","plainCitation":"(Hindersah et al., 2020)","noteIndex":0},"citationItems":[{"id":393,"uris":["http://zotero.org/users/local/jSzQgGyj/items/6SP2XMZE"],"itemData":{"id":393,"type":"article-journal","abstract":"Biofertilizer which contain rhizobacteria Azotobacter increase soil fertility and improve plant growth through nitrogen fixation and phytohormone production. The objective of this study was to compare the responses of soybean (Glycine max (L.) Merill) plants in dry land after the application of several Azotobacter inoculation methods. Field experiments were carried out with a randomized block design consisting of five treatments with five replicates each. The treatments were seed inoculation, soil treatment before planting, soil treatment after planting and plant dressing. Plant inoculation with Azotobacter treated with half of recommended dosage urea  while the control plant received recommended dose urea. The experimental results showed that all application methods did not affect soybean production, number of nodules, Azotobacter populations in the rhizosphere and N total soil; but Azotobacter inoculation through leaves increased N uptake and weight of 100 soybean seeds.","container-title":"Agric","DOI":"10.24246/agric.2019.v31.i2.p136-145","ISSN":"2549-9343, 0854-9028","issue":"2","journalAbbreviation":"Agric","license":"http://creativecommons.org/licenses/by/4.0","page":"136-145","source":"DOI.org (Crossref)","title":"Effect of Azotobacter Application Method on Yield of Soybean (Glycine max (L.) Merill) on Dry Land","volume":"31","author":[{"family":"Hindersah","given":"Reginawanti"},{"family":"Risanti","given":"Rara Rahmantika"},{"family":"Haikal","given":"Ibnu"},{"family":"Mahfud","given":"Yuliati"},{"family":"Nurlaeny","given":"Nenny"},{"family":"Rachmadi","given":"Meddy"}],"issued":{"date-parts":[["2020",1,20]]}}}],"schema":"https://github.com/citation-style-language/schema/raw/master/csl-citation.json"} </w:instrText>
      </w:r>
      <w:r w:rsidR="00E6759C">
        <w:rPr>
          <w:rFonts w:ascii="Cambria" w:hAnsi="Cambria"/>
          <w:kern w:val="2"/>
          <w:sz w:val="24"/>
          <w:lang w:val="en-ID"/>
        </w:rPr>
        <w:fldChar w:fldCharType="separate"/>
      </w:r>
      <w:r w:rsidR="00E6759C" w:rsidRPr="00E6759C">
        <w:rPr>
          <w:rFonts w:ascii="Cambria" w:hAnsi="Cambria"/>
          <w:sz w:val="24"/>
          <w:lang w:val="en-ID"/>
        </w:rPr>
        <w:t>(Hindersah et al., 2020)</w:t>
      </w:r>
      <w:r w:rsidR="00E6759C">
        <w:rPr>
          <w:rFonts w:ascii="Cambria" w:hAnsi="Cambria"/>
          <w:kern w:val="2"/>
          <w:sz w:val="24"/>
          <w:lang w:val="en-ID"/>
        </w:rPr>
        <w:fldChar w:fldCharType="end"/>
      </w:r>
      <w:r w:rsidR="00E6759C">
        <w:rPr>
          <w:rFonts w:ascii="Cambria" w:hAnsi="Cambria"/>
          <w:kern w:val="2"/>
          <w:sz w:val="24"/>
          <w:lang w:val="en-ID"/>
        </w:rPr>
        <w:t xml:space="preserve">. </w:t>
      </w:r>
    </w:p>
    <w:p w14:paraId="1B49EF15" w14:textId="18E35B78" w:rsidR="007806FD" w:rsidRDefault="004930D7" w:rsidP="00B16E15">
      <w:pPr>
        <w:tabs>
          <w:tab w:val="left" w:pos="450"/>
        </w:tabs>
        <w:spacing w:after="0"/>
        <w:ind w:left="360"/>
        <w:rPr>
          <w:rFonts w:ascii="Cambria" w:hAnsi="Cambria"/>
          <w:sz w:val="24"/>
        </w:rPr>
      </w:pPr>
      <w:r w:rsidRPr="008B5DD5">
        <w:rPr>
          <w:rFonts w:ascii="Cambria" w:hAnsi="Cambria"/>
          <w:kern w:val="2"/>
          <w:sz w:val="24"/>
          <w:lang w:val="en-ID"/>
        </w:rPr>
        <w:t>Interestingly, increasing fertilizer concentration beyond the optimum level did not consistently improve soybean productivity. Treatments receiving the highest concentrations of bionanofertilizer and NPK fertilizer did not outperform the moderate treatment combination represented by B2S2. This finding suggests that optimum crop productivity is more strongly associated with balanced nutrient management than with maximum fertilizer application rates. Excessive fertilizer concentrations may reduce nutrient use efficiency and disrupt physiological processes involved in assimilate production and nutrient translocation.</w:t>
      </w:r>
    </w:p>
    <w:p w14:paraId="2E9D13F6" w14:textId="6538CDE1" w:rsidR="00F8301A" w:rsidRDefault="004930D7" w:rsidP="00B16E15">
      <w:pPr>
        <w:tabs>
          <w:tab w:val="left" w:pos="450"/>
        </w:tabs>
        <w:spacing w:after="0"/>
        <w:ind w:left="360"/>
        <w:rPr>
          <w:rFonts w:ascii="Cambria" w:hAnsi="Cambria"/>
          <w:sz w:val="24"/>
        </w:rPr>
      </w:pPr>
      <w:r w:rsidRPr="008B5DD5">
        <w:rPr>
          <w:rFonts w:ascii="Cambria" w:hAnsi="Cambria"/>
          <w:kern w:val="2"/>
          <w:sz w:val="24"/>
          <w:lang w:val="en-ID"/>
        </w:rPr>
        <w:t xml:space="preserve">The present findings are consistent with previous studies demonstrating that the integration of biofertilizers and balanced NPK fertilization significantly enhances soybean productivity through improved nutrient use efficiency and reproductive development. Previous reports have demonstrated that integrated fertilization strategies contribute substantially to pod formation, seed development, and yield improvement across various soybean cultivation systems </w:t>
      </w:r>
      <w:r w:rsidR="00212572">
        <w:rPr>
          <w:rFonts w:ascii="Cambria" w:hAnsi="Cambria"/>
          <w:kern w:val="2"/>
          <w:sz w:val="24"/>
          <w:lang w:val="en-ID"/>
        </w:rPr>
        <w:fldChar w:fldCharType="begin"/>
      </w:r>
      <w:r w:rsidR="00212572">
        <w:rPr>
          <w:rFonts w:ascii="Cambria" w:hAnsi="Cambria"/>
          <w:kern w:val="2"/>
          <w:sz w:val="24"/>
          <w:lang w:val="en-ID"/>
        </w:rPr>
        <w:instrText xml:space="preserve"> ADDIN ZOTERO_ITEM CSL_CITATION {"citationID":"IELTB3kp","properties":{"unsorted":false,"formattedCitation":"(Pebian et al., 2025)","plainCitation":"(Pebian et al., 2025)","noteIndex":0},"citationItems":[{"id":395,"uris":["http://zotero.org/users/local/jSzQgGyj/items/JI2R4PAA"],"itemData":{"id":395,"type":"article-journal","abstract":"Soybean (Glycine max L. Merril) is a major food commodity with high demand in Indonesia, both for consumption and industrial purposes. Efforts to increase soybean productivity require optimal fertilization, including a combination of Bio P2000Z and NPK fertilizer. This study aimed to analyze the effects of Bio P2000Z and NPK fertilizers on the growth and yield of the Ratu Serang soybean variety. The research was conducted from January to May 2025 at the Gunadarma University Technopark field in Cianjur, using a Factorial Randomized Complete Block Design (RCBD) with two factors: Bio P2000Z concentration (0, 5, 10%) and NPK fertilizer dosage (0, 1, 3 g/plant). There were nine treatment combinations with four replications, resulting in a total of 36 experimental units. The observed parameters included flowering ageand yield (harvest age, number of pods per plant, fresh biomass weight, and dry biomass weight). Data were analyzed using ANOVA at a 5% significance level followed by the Duncan Multiple Range Test (DMRT) post-hoc test. The results showed that both Bio P2000Z and NPK fertilizers had a significant effect on the growth and yield of the Ratu Serang soybean variety.","container-title":"Jurnal Biologi Tropis","DOI":"10.29303/jbt.v25i4b.10900","ISSN":"2549-7863, 1411-9587","issue":"4b","journalAbbreviation":"JBT","license":"http://creativecommons.org/licenses/by/4.0","page":"647-655","source":"DOI.org (Crossref)","title":"Integrating Bio P2000Z and NPK Fertilizers on Yield of Local Soybean to Support Food Self-Sufficiency","volume":"25","author":[{"family":"Pebian","given":"Dhio Faturrohman Adha"},{"family":"Arti","given":"Inti Mulyo"},{"family":"Azmi","given":"Tubagus Kiki Kawakibi"}],"issued":{"date-parts":[["2025",12,28]]}}}],"schema":"https://github.com/citation-style-language/schema/raw/master/csl-citation.json"} </w:instrText>
      </w:r>
      <w:r w:rsidR="00212572">
        <w:rPr>
          <w:rFonts w:ascii="Cambria" w:hAnsi="Cambria"/>
          <w:kern w:val="2"/>
          <w:sz w:val="24"/>
          <w:lang w:val="en-ID"/>
        </w:rPr>
        <w:fldChar w:fldCharType="separate"/>
      </w:r>
      <w:r w:rsidR="00212572" w:rsidRPr="00212572">
        <w:rPr>
          <w:rFonts w:ascii="Cambria" w:hAnsi="Cambria"/>
          <w:sz w:val="24"/>
          <w:lang w:val="en-ID"/>
        </w:rPr>
        <w:t>(Pebian et al., 2025)</w:t>
      </w:r>
      <w:r w:rsidR="00212572">
        <w:rPr>
          <w:rFonts w:ascii="Cambria" w:hAnsi="Cambria"/>
          <w:kern w:val="2"/>
          <w:sz w:val="24"/>
          <w:lang w:val="en-ID"/>
        </w:rPr>
        <w:fldChar w:fldCharType="end"/>
      </w:r>
      <w:r w:rsidR="00212572">
        <w:rPr>
          <w:rFonts w:ascii="Cambria" w:hAnsi="Cambria"/>
          <w:kern w:val="2"/>
          <w:sz w:val="24"/>
          <w:lang w:val="en-ID"/>
        </w:rPr>
        <w:t>.</w:t>
      </w:r>
    </w:p>
    <w:p w14:paraId="7A8C8386" w14:textId="4F3F0EEC" w:rsidR="004930D7" w:rsidRPr="00F8301A" w:rsidRDefault="004930D7" w:rsidP="00B16E15">
      <w:pPr>
        <w:tabs>
          <w:tab w:val="left" w:pos="450"/>
        </w:tabs>
        <w:spacing w:after="0"/>
        <w:ind w:left="360"/>
        <w:rPr>
          <w:rFonts w:ascii="Cambria" w:hAnsi="Cambria"/>
          <w:sz w:val="24"/>
        </w:rPr>
      </w:pPr>
      <w:r w:rsidRPr="008B5DD5">
        <w:rPr>
          <w:rFonts w:ascii="Cambria" w:hAnsi="Cambria"/>
          <w:kern w:val="2"/>
          <w:sz w:val="24"/>
          <w:lang w:val="en-ID"/>
        </w:rPr>
        <w:t>Overall, the results of this study demonstrate that the combination of 9 mL L⁻¹ bionanofertilizer and 9 g plant⁻¹ NPK fertilizer represents the optimum fertilization strategy for improving soybean yield components. The synergistic interaction between nano-based biofertilizer and balanced nutrient management effectively enhanced pod formation, seed development, and assimilate accumulation, thereby significantly increasing soybean productivity. These findings highlight the potential application of integrated fertilization strategies for supporting sustainable soybean production under tropical agroecosystem conditions.</w:t>
      </w:r>
    </w:p>
    <w:p w14:paraId="4D734620" w14:textId="77777777" w:rsidR="00496CF7" w:rsidRDefault="00496CF7" w:rsidP="00B16E15">
      <w:pPr>
        <w:tabs>
          <w:tab w:val="left" w:pos="450"/>
        </w:tabs>
        <w:snapToGrid w:val="0"/>
        <w:spacing w:after="0"/>
        <w:ind w:left="360"/>
        <w:rPr>
          <w:rFonts w:ascii="Cambria" w:hAnsi="Cambria"/>
          <w:kern w:val="2"/>
          <w:sz w:val="24"/>
          <w:lang w:val="en-ID"/>
        </w:rPr>
      </w:pPr>
    </w:p>
    <w:p w14:paraId="24D8DD09" w14:textId="77777777" w:rsidR="0087555D" w:rsidRDefault="003B3CA2" w:rsidP="00B16E15">
      <w:pPr>
        <w:tabs>
          <w:tab w:val="left" w:pos="450"/>
        </w:tabs>
        <w:spacing w:after="0"/>
        <w:ind w:left="360"/>
        <w:rPr>
          <w:rFonts w:ascii="Cambria" w:hAnsi="Cambria"/>
          <w:b/>
          <w:bCs/>
          <w:iCs/>
          <w:sz w:val="24"/>
          <w:lang w:val="en-US"/>
        </w:rPr>
      </w:pPr>
      <w:r>
        <w:rPr>
          <w:rFonts w:ascii="Cambria" w:hAnsi="Cambria"/>
          <w:b/>
          <w:bCs/>
          <w:kern w:val="2"/>
          <w:sz w:val="24"/>
          <w:lang w:val="en-US"/>
        </w:rPr>
        <w:t xml:space="preserve">4. </w:t>
      </w:r>
      <w:r>
        <w:rPr>
          <w:rFonts w:ascii="Cambria" w:hAnsi="Cambria"/>
          <w:b/>
          <w:bCs/>
          <w:iCs/>
          <w:sz w:val="24"/>
          <w:lang w:val="en-US"/>
        </w:rPr>
        <w:t>Conclussion</w:t>
      </w:r>
    </w:p>
    <w:p w14:paraId="762F02A4" w14:textId="2EA46628" w:rsidR="0087555D" w:rsidRPr="0087555D" w:rsidRDefault="0087555D" w:rsidP="00B16E15">
      <w:pPr>
        <w:tabs>
          <w:tab w:val="left" w:pos="450"/>
        </w:tabs>
        <w:spacing w:after="0"/>
        <w:ind w:left="360"/>
        <w:rPr>
          <w:rFonts w:ascii="Cambria" w:hAnsi="Cambria"/>
          <w:b/>
          <w:bCs/>
          <w:iCs/>
          <w:sz w:val="24"/>
          <w:lang w:val="en-US"/>
        </w:rPr>
      </w:pPr>
      <w:r>
        <w:rPr>
          <w:rFonts w:ascii="Cambria" w:hAnsi="Cambria"/>
          <w:b/>
          <w:bCs/>
          <w:iCs/>
          <w:sz w:val="24"/>
          <w:lang w:val="en-US"/>
        </w:rPr>
        <w:tab/>
      </w:r>
      <w:r>
        <w:rPr>
          <w:rFonts w:ascii="Cambria" w:hAnsi="Cambria"/>
          <w:iCs/>
          <w:sz w:val="24"/>
          <w:lang w:val="en-ID"/>
        </w:rPr>
        <w:t>T</w:t>
      </w:r>
      <w:r w:rsidR="00496CF7" w:rsidRPr="0087555D">
        <w:rPr>
          <w:rFonts w:ascii="Cambria" w:eastAsia="PMingLiU" w:hAnsi="Cambria"/>
          <w:iCs/>
          <w:sz w:val="24"/>
          <w:szCs w:val="20"/>
          <w:lang w:val="en-ID" w:eastAsia="en-US"/>
        </w:rPr>
        <w:t>he present study demonstrated that the interaction between bionanofertilizer concentration and NPK fertilizer dosage significantly affected the vegetative growth and yield components of Detap-1 soybean (</w:t>
      </w:r>
      <w:r w:rsidR="00496CF7" w:rsidRPr="0087555D">
        <w:rPr>
          <w:rFonts w:ascii="Cambria" w:eastAsia="PMingLiU" w:hAnsi="Cambria"/>
          <w:i/>
          <w:iCs/>
          <w:sz w:val="24"/>
          <w:szCs w:val="20"/>
          <w:lang w:val="en-ID" w:eastAsia="en-US"/>
        </w:rPr>
        <w:t>Glycine max</w:t>
      </w:r>
      <w:r w:rsidR="00496CF7" w:rsidRPr="0087555D">
        <w:rPr>
          <w:rFonts w:ascii="Cambria" w:eastAsia="PMingLiU" w:hAnsi="Cambria"/>
          <w:iCs/>
          <w:sz w:val="24"/>
          <w:szCs w:val="20"/>
          <w:lang w:val="en-ID" w:eastAsia="en-US"/>
        </w:rPr>
        <w:t xml:space="preserve"> (L.) Merrill). The combined application of 9 mL L⁻¹ bionanofertilizer and 9 g plant⁻¹ NPK fertilizer (B2S2) was identified as the optimum treatment, consistently producing superior responses across all observed parameters. This treatment resulted in the highest plant height (63.3 cm), stem diameter (71.8 mm), number of pods (178.2), pod weight (294.7 g), number of seeds (423.7), seed weight (82.7 g), and 100-seed weight (24.7 g). These findings indicate that balanced nutrient availability provided by the synergistic interaction between nano-based biofertilizer and NPK fertilization substantially enhanced nutrient uptake efficiency, assimilate accumulation, and reproductive development in soybean plants.</w:t>
      </w:r>
    </w:p>
    <w:p w14:paraId="228174EB" w14:textId="6E92BE0B" w:rsidR="00496CF7" w:rsidRDefault="0087555D" w:rsidP="00B16E15">
      <w:pPr>
        <w:pStyle w:val="Text"/>
        <w:tabs>
          <w:tab w:val="left" w:pos="426"/>
        </w:tabs>
        <w:spacing w:after="120"/>
        <w:ind w:left="360" w:firstLine="0"/>
        <w:rPr>
          <w:rFonts w:ascii="Cambria" w:hAnsi="Cambria"/>
          <w:iCs/>
          <w:sz w:val="24"/>
          <w:lang w:val="en-ID"/>
        </w:rPr>
      </w:pPr>
      <w:r>
        <w:rPr>
          <w:rFonts w:ascii="Cambria" w:hAnsi="Cambria"/>
          <w:iCs/>
          <w:sz w:val="24"/>
          <w:lang w:val="en-ID"/>
        </w:rPr>
        <w:tab/>
      </w:r>
      <w:r w:rsidR="00496CF7" w:rsidRPr="0087555D">
        <w:rPr>
          <w:rFonts w:ascii="Cambria" w:hAnsi="Cambria"/>
          <w:iCs/>
          <w:sz w:val="24"/>
          <w:lang w:val="en-ID"/>
        </w:rPr>
        <w:t xml:space="preserve">Furthermore, the results suggest that optimum soybean productivity is more strongly associated with balanced nutrient management than with increasing fertilizer application rates. Moderate fertilization levels proved more effective than higher concentrations in promoting both vegetative and reproductive performance under the </w:t>
      </w:r>
      <w:r w:rsidR="00496CF7" w:rsidRPr="0087555D">
        <w:rPr>
          <w:rFonts w:ascii="Cambria" w:hAnsi="Cambria"/>
          <w:iCs/>
          <w:sz w:val="24"/>
          <w:lang w:val="en-ID"/>
        </w:rPr>
        <w:lastRenderedPageBreak/>
        <w:t>experimental conditions employed in this study. The integration of bionanofertilizer and balanced NPK fertilization therefore offers considerable potential as a sustainable nutrient management strategy for improving soybean productivity. Future studies are recommended to evaluate the effectiveness of this fertilization combination under different agroecological conditions and at larger cultivation scales to further support the development of sustainable soybean production systems.</w:t>
      </w:r>
    </w:p>
    <w:p w14:paraId="1636F4D3" w14:textId="77777777" w:rsidR="00255469" w:rsidRDefault="00255469" w:rsidP="00B16E15">
      <w:pPr>
        <w:pStyle w:val="Text"/>
        <w:tabs>
          <w:tab w:val="left" w:pos="426"/>
        </w:tabs>
        <w:spacing w:after="120"/>
        <w:ind w:left="360" w:firstLine="0"/>
        <w:rPr>
          <w:rFonts w:ascii="Cambria" w:hAnsi="Cambria"/>
          <w:iCs/>
          <w:sz w:val="24"/>
          <w:lang w:val="en-ID"/>
        </w:rPr>
      </w:pPr>
    </w:p>
    <w:p w14:paraId="1E089D02" w14:textId="0375BD5B" w:rsidR="00255469" w:rsidRDefault="00255469" w:rsidP="00B16E15">
      <w:pPr>
        <w:pStyle w:val="Text"/>
        <w:tabs>
          <w:tab w:val="left" w:pos="426"/>
        </w:tabs>
        <w:spacing w:after="120"/>
        <w:ind w:left="360" w:firstLine="0"/>
        <w:rPr>
          <w:rFonts w:ascii="Cambria" w:hAnsi="Cambria"/>
          <w:b/>
          <w:bCs/>
          <w:iCs/>
          <w:sz w:val="24"/>
          <w:lang w:val="en-GB"/>
        </w:rPr>
      </w:pPr>
      <w:r w:rsidRPr="00255469">
        <w:rPr>
          <w:rFonts w:ascii="Cambria" w:hAnsi="Cambria"/>
          <w:b/>
          <w:bCs/>
          <w:iCs/>
          <w:sz w:val="24"/>
          <w:lang w:val="en-GB"/>
        </w:rPr>
        <w:t>Acknowledgements</w:t>
      </w:r>
    </w:p>
    <w:p w14:paraId="546B9D9E" w14:textId="56FB24B8" w:rsidR="00255469" w:rsidRDefault="00C8570D" w:rsidP="00B16E15">
      <w:pPr>
        <w:pStyle w:val="Text"/>
        <w:tabs>
          <w:tab w:val="left" w:pos="426"/>
        </w:tabs>
        <w:spacing w:after="120"/>
        <w:ind w:left="360" w:firstLine="0"/>
        <w:rPr>
          <w:rFonts w:ascii="Cambria" w:hAnsi="Cambria"/>
          <w:iCs/>
          <w:sz w:val="24"/>
          <w:lang w:val="en-GB"/>
        </w:rPr>
      </w:pPr>
      <w:r>
        <w:rPr>
          <w:rFonts w:ascii="Cambria" w:hAnsi="Cambria"/>
          <w:b/>
          <w:bCs/>
          <w:iCs/>
          <w:sz w:val="24"/>
          <w:lang w:val="en-GB"/>
        </w:rPr>
        <w:t>T</w:t>
      </w:r>
      <w:r w:rsidR="004473D1" w:rsidRPr="004473D1">
        <w:rPr>
          <w:rFonts w:ascii="Cambria" w:hAnsi="Cambria"/>
          <w:iCs/>
          <w:sz w:val="24"/>
          <w:lang w:val="en-GB"/>
        </w:rPr>
        <w:t xml:space="preserve">he authors would like to express their sincere gratitude to the Faculty of Agriculture and Animal Science, Universitas Islam Balitar, for providing academic support and research facilities throughout this study. The authors also extend their appreciation to all individuals who contributed to the implementation of the experiment conducted in Rejowinangun Village, Kademangan District, Blitar Regency, East Java, Indonesia. Their valuable assistance and support </w:t>
      </w:r>
      <w:r w:rsidR="00CA27F0" w:rsidRPr="00CA27F0">
        <w:rPr>
          <w:rFonts w:ascii="Cambria" w:hAnsi="Cambria"/>
          <w:iCs/>
          <w:sz w:val="24"/>
          <w:lang w:val="en-GB"/>
        </w:rPr>
        <w:t>were instrumental in</w:t>
      </w:r>
      <w:r w:rsidR="00CA27F0">
        <w:rPr>
          <w:rFonts w:ascii="Cambria" w:hAnsi="Cambria"/>
          <w:iCs/>
          <w:sz w:val="24"/>
          <w:lang w:val="en-GB"/>
        </w:rPr>
        <w:t xml:space="preserve"> </w:t>
      </w:r>
      <w:r w:rsidR="004473D1" w:rsidRPr="004473D1">
        <w:rPr>
          <w:rFonts w:ascii="Cambria" w:hAnsi="Cambria"/>
          <w:iCs/>
          <w:sz w:val="24"/>
          <w:lang w:val="en-GB"/>
        </w:rPr>
        <w:t>the successful completion of this research.</w:t>
      </w:r>
    </w:p>
    <w:p w14:paraId="78DCF450" w14:textId="4000C785" w:rsidR="004473D1" w:rsidRPr="004473D1" w:rsidRDefault="008D7982" w:rsidP="00B16E15">
      <w:pPr>
        <w:pStyle w:val="Text"/>
        <w:tabs>
          <w:tab w:val="left" w:pos="426"/>
        </w:tabs>
        <w:spacing w:after="120"/>
        <w:ind w:left="360" w:firstLine="0"/>
        <w:rPr>
          <w:rFonts w:ascii="Cambria" w:hAnsi="Cambria"/>
          <w:iCs/>
          <w:sz w:val="24"/>
          <w:lang w:val="en-GB"/>
        </w:rPr>
      </w:pPr>
      <w:r>
        <w:rPr>
          <w:rFonts w:ascii="Cambria" w:hAnsi="Cambria"/>
          <w:iCs/>
          <w:sz w:val="24"/>
          <w:lang w:val="en-GB"/>
        </w:rPr>
        <w:t xml:space="preserve"> </w:t>
      </w:r>
    </w:p>
    <w:p w14:paraId="44F6F85D" w14:textId="4374129F" w:rsidR="00255469" w:rsidRPr="0087555D" w:rsidRDefault="00255469" w:rsidP="00B16E15">
      <w:pPr>
        <w:pStyle w:val="Text"/>
        <w:tabs>
          <w:tab w:val="left" w:pos="426"/>
        </w:tabs>
        <w:spacing w:after="120"/>
        <w:ind w:left="360" w:firstLine="0"/>
        <w:rPr>
          <w:rFonts w:ascii="Cambria" w:hAnsi="Cambria"/>
          <w:iCs/>
          <w:sz w:val="24"/>
          <w:lang w:val="en-ID"/>
        </w:rPr>
      </w:pPr>
      <w:r>
        <w:rPr>
          <w:rFonts w:ascii="Cambria" w:hAnsi="Cambria"/>
          <w:b/>
          <w:bCs/>
          <w:iCs/>
          <w:sz w:val="24"/>
          <w:lang w:val="en-GB"/>
        </w:rPr>
        <w:t>References</w:t>
      </w:r>
      <w:r w:rsidR="00CA27F0">
        <w:rPr>
          <w:rFonts w:ascii="Cambria" w:hAnsi="Cambria"/>
          <w:b/>
          <w:bCs/>
          <w:iCs/>
          <w:sz w:val="24"/>
          <w:lang w:val="en-GB"/>
        </w:rPr>
        <w:t xml:space="preserve"> </w:t>
      </w:r>
    </w:p>
    <w:p w14:paraId="24EA41CD" w14:textId="77777777" w:rsidR="009D3E40" w:rsidRPr="009D3E40" w:rsidRDefault="009D3E40" w:rsidP="00B16E15">
      <w:pPr>
        <w:pStyle w:val="Bibliography"/>
        <w:spacing w:line="276" w:lineRule="auto"/>
        <w:ind w:left="810" w:hanging="450"/>
      </w:pPr>
      <w:r>
        <w:rPr>
          <w:b/>
          <w:bCs/>
          <w:iCs/>
        </w:rPr>
        <w:fldChar w:fldCharType="begin"/>
      </w:r>
      <w:r>
        <w:rPr>
          <w:b/>
          <w:bCs/>
          <w:iCs/>
        </w:rPr>
        <w:instrText xml:space="preserve"> ADDIN ZOTERO_BIBL {"uncited":[],"omitted":[],"custom":[]} CSL_BIBLIOGRAPHY </w:instrText>
      </w:r>
      <w:r>
        <w:rPr>
          <w:b/>
          <w:bCs/>
          <w:iCs/>
        </w:rPr>
        <w:fldChar w:fldCharType="separate"/>
      </w:r>
      <w:r w:rsidRPr="009D3E40">
        <w:t xml:space="preserve">Abdelkader, M., Zargar, M., Bayat, M., Pakina, E., Shehata, A. S. A., &amp; Suliman, A. A. (2024). Biogenic Nano-Fertilizers as a Sustainable Approach to Alleviate Nitrate Accumulation and Enrich Quality Traits of Vegetable Crops. </w:t>
      </w:r>
      <w:r w:rsidRPr="009D3E40">
        <w:rPr>
          <w:i/>
          <w:iCs/>
        </w:rPr>
        <w:t>Horticulturae</w:t>
      </w:r>
      <w:r w:rsidRPr="009D3E40">
        <w:t xml:space="preserve">, </w:t>
      </w:r>
      <w:r w:rsidRPr="009D3E40">
        <w:rPr>
          <w:i/>
          <w:iCs/>
        </w:rPr>
        <w:t>10</w:t>
      </w:r>
      <w:r w:rsidRPr="009D3E40">
        <w:t>(8), 789. https://doi.org/10.3390/horticulturae10080789</w:t>
      </w:r>
    </w:p>
    <w:p w14:paraId="49EB18C2" w14:textId="77777777" w:rsidR="009D3E40" w:rsidRPr="009D3E40" w:rsidRDefault="009D3E40" w:rsidP="00B16E15">
      <w:pPr>
        <w:pStyle w:val="Bibliography"/>
        <w:spacing w:line="276" w:lineRule="auto"/>
        <w:ind w:left="810" w:hanging="450"/>
      </w:pPr>
      <w:r w:rsidRPr="009D3E40">
        <w:t xml:space="preserve">Afidah, I. K. (2019). </w:t>
      </w:r>
      <w:r w:rsidRPr="009D3E40">
        <w:rPr>
          <w:i/>
          <w:iCs/>
        </w:rPr>
        <w:t>Pengaruh Lama Penyinaran (Fotoperiode) Terhadap Pertumbuhan dan Hasil pada Tiga Varietas Kedelai (Glycine max L. Merr)</w:t>
      </w:r>
      <w:r w:rsidRPr="009D3E40">
        <w:t xml:space="preserve">. </w:t>
      </w:r>
      <w:r w:rsidRPr="009D3E40">
        <w:rPr>
          <w:i/>
          <w:iCs/>
        </w:rPr>
        <w:t>7</w:t>
      </w:r>
      <w:r w:rsidRPr="009D3E40">
        <w:t>.</w:t>
      </w:r>
    </w:p>
    <w:p w14:paraId="5B21A8A9" w14:textId="77777777" w:rsidR="009D3E40" w:rsidRPr="009D3E40" w:rsidRDefault="009D3E40" w:rsidP="00B16E15">
      <w:pPr>
        <w:pStyle w:val="Bibliography"/>
        <w:spacing w:line="276" w:lineRule="auto"/>
        <w:ind w:left="810" w:hanging="450"/>
      </w:pPr>
      <w:r w:rsidRPr="009D3E40">
        <w:t xml:space="preserve">Hamid, Abd., Linda, R., &amp; Mukarlina, M. (2020). Pertumbuhan Kedelai (Glycine Max [L.] Merrill) Varietis Anjasmoro dengan Pemberian Kambing (Capra Aegagrus Hircus). </w:t>
      </w:r>
      <w:r w:rsidRPr="009D3E40">
        <w:rPr>
          <w:i/>
          <w:iCs/>
        </w:rPr>
        <w:t>Jurnal Protobiont</w:t>
      </w:r>
      <w:r w:rsidRPr="009D3E40">
        <w:t xml:space="preserve">, </w:t>
      </w:r>
      <w:r w:rsidRPr="009D3E40">
        <w:rPr>
          <w:i/>
          <w:iCs/>
        </w:rPr>
        <w:t>9</w:t>
      </w:r>
      <w:r w:rsidRPr="009D3E40">
        <w:t>(1). https://doi.org/10.26418/protobiont.v9i1.40677</w:t>
      </w:r>
    </w:p>
    <w:p w14:paraId="35504199" w14:textId="77777777" w:rsidR="009D3E40" w:rsidRPr="009D3E40" w:rsidRDefault="009D3E40" w:rsidP="00B16E15">
      <w:pPr>
        <w:pStyle w:val="Bibliography"/>
        <w:spacing w:line="276" w:lineRule="auto"/>
        <w:ind w:left="810" w:hanging="450"/>
      </w:pPr>
      <w:r w:rsidRPr="009D3E40">
        <w:t xml:space="preserve">Han, Y., White, P. J., &amp; Cheng, L. (2022). Mechanisms for improving phosphorus utilization efficiency in plants. </w:t>
      </w:r>
      <w:r w:rsidRPr="009D3E40">
        <w:rPr>
          <w:i/>
          <w:iCs/>
        </w:rPr>
        <w:t>Annals of Botany</w:t>
      </w:r>
      <w:r w:rsidRPr="009D3E40">
        <w:t xml:space="preserve">, </w:t>
      </w:r>
      <w:r w:rsidRPr="009D3E40">
        <w:rPr>
          <w:i/>
          <w:iCs/>
        </w:rPr>
        <w:t>129</w:t>
      </w:r>
      <w:r w:rsidRPr="009D3E40">
        <w:t>(3), 247–258. https://doi.org/10.1093/aob/mcab145</w:t>
      </w:r>
    </w:p>
    <w:p w14:paraId="62F15B21" w14:textId="77777777" w:rsidR="009D3E40" w:rsidRPr="009D3E40" w:rsidRDefault="009D3E40" w:rsidP="00B16E15">
      <w:pPr>
        <w:pStyle w:val="Bibliography"/>
        <w:spacing w:line="276" w:lineRule="auto"/>
        <w:ind w:left="810" w:hanging="450"/>
      </w:pPr>
      <w:r w:rsidRPr="009D3E40">
        <w:t xml:space="preserve">Hao, D., Li, X., Kong, W., Chen, R., Liu, J., Guo, H., &amp; Zhou, J. (2023). Phosphorylation regulation of nitrogen, phosphorus, and potassium uptake systems in plants. </w:t>
      </w:r>
      <w:r w:rsidRPr="009D3E40">
        <w:rPr>
          <w:i/>
          <w:iCs/>
        </w:rPr>
        <w:t>The Crop Journal</w:t>
      </w:r>
      <w:r w:rsidRPr="009D3E40">
        <w:t xml:space="preserve">, </w:t>
      </w:r>
      <w:r w:rsidRPr="009D3E40">
        <w:rPr>
          <w:i/>
          <w:iCs/>
        </w:rPr>
        <w:t>11</w:t>
      </w:r>
      <w:r w:rsidRPr="009D3E40">
        <w:t>(4), 1034–1047. https://doi.org/10.1016/j.cj.2023.06.003</w:t>
      </w:r>
    </w:p>
    <w:p w14:paraId="6041E4F1" w14:textId="77777777" w:rsidR="009D3E40" w:rsidRPr="009D3E40" w:rsidRDefault="009D3E40" w:rsidP="00B16E15">
      <w:pPr>
        <w:pStyle w:val="Bibliography"/>
        <w:spacing w:line="276" w:lineRule="auto"/>
        <w:ind w:left="810" w:hanging="450"/>
      </w:pPr>
      <w:r w:rsidRPr="009D3E40">
        <w:t xml:space="preserve">Hapsoh, Wardati, &amp; Hairunisa, D. (2019). Pengaruh Pemberian Kompos dan Pupuk NPK terhadap Produktivitas Kedelai (Glycine max (L.) Merril). </w:t>
      </w:r>
      <w:r w:rsidRPr="009D3E40">
        <w:rPr>
          <w:i/>
          <w:iCs/>
        </w:rPr>
        <w:t>Jurnal Agronomi Indonesia (Indonesian Journal of Agronomy)</w:t>
      </w:r>
      <w:r w:rsidRPr="009D3E40">
        <w:t xml:space="preserve">, </w:t>
      </w:r>
      <w:r w:rsidRPr="009D3E40">
        <w:rPr>
          <w:i/>
          <w:iCs/>
        </w:rPr>
        <w:t>47</w:t>
      </w:r>
      <w:r w:rsidRPr="009D3E40">
        <w:t>(2), 149–155. https://doi.org/10.24831/jai.v47i2.25794</w:t>
      </w:r>
    </w:p>
    <w:p w14:paraId="5AF8D73A" w14:textId="77777777" w:rsidR="009D3E40" w:rsidRPr="009D3E40" w:rsidRDefault="009D3E40" w:rsidP="00B16E15">
      <w:pPr>
        <w:pStyle w:val="Bibliography"/>
        <w:spacing w:line="276" w:lineRule="auto"/>
        <w:ind w:left="810" w:hanging="450"/>
      </w:pPr>
      <w:r w:rsidRPr="009D3E40">
        <w:t xml:space="preserve">Hindersah, R., Risanti, R. R., Haikal, I., Mahfud, Y., Nurlaeny, N., &amp; Rachmadi, M. (2020). Effect of Azotobacter Application Method on Yield of Soybean (Glycine max (L.) Merill) on Dry Land. </w:t>
      </w:r>
      <w:r w:rsidRPr="009D3E40">
        <w:rPr>
          <w:i/>
          <w:iCs/>
        </w:rPr>
        <w:t>Agric</w:t>
      </w:r>
      <w:r w:rsidRPr="009D3E40">
        <w:t xml:space="preserve">, </w:t>
      </w:r>
      <w:r w:rsidRPr="009D3E40">
        <w:rPr>
          <w:i/>
          <w:iCs/>
        </w:rPr>
        <w:t>31</w:t>
      </w:r>
      <w:r w:rsidRPr="009D3E40">
        <w:t>(2), 136–145. https://doi.org/10.24246/agric.2019.v31.i2.p136-145</w:t>
      </w:r>
    </w:p>
    <w:p w14:paraId="1765B892" w14:textId="77777777" w:rsidR="009D3E40" w:rsidRPr="009D3E40" w:rsidRDefault="009D3E40" w:rsidP="00B16E15">
      <w:pPr>
        <w:pStyle w:val="Bibliography"/>
        <w:spacing w:line="276" w:lineRule="auto"/>
        <w:ind w:left="810" w:hanging="450"/>
      </w:pPr>
      <w:r w:rsidRPr="009D3E40">
        <w:t xml:space="preserve">Htwe, A. Z., Moh, S. M., Soe, K. M., Moe, K., &amp; Yamakawa, T. (2019). Effects of Biofertilizer Produced from Bradyrhizobium and Streptomyces griseoflavus on Plant Growth, Nodulation, Nitrogen Fixation, Nutrient Uptake, and Seed Yield of Mung Bean, Cowpea, and Soybean. </w:t>
      </w:r>
      <w:r w:rsidRPr="009D3E40">
        <w:rPr>
          <w:i/>
          <w:iCs/>
        </w:rPr>
        <w:t>Agronomy</w:t>
      </w:r>
      <w:r w:rsidRPr="009D3E40">
        <w:t xml:space="preserve">, </w:t>
      </w:r>
      <w:r w:rsidRPr="009D3E40">
        <w:rPr>
          <w:i/>
          <w:iCs/>
        </w:rPr>
        <w:t>9</w:t>
      </w:r>
      <w:r w:rsidRPr="009D3E40">
        <w:t>(2), 77. https://doi.org/10.3390/agronomy9020077</w:t>
      </w:r>
    </w:p>
    <w:p w14:paraId="34666D1E" w14:textId="77777777" w:rsidR="009D3E40" w:rsidRPr="009D3E40" w:rsidRDefault="009D3E40" w:rsidP="00B16E15">
      <w:pPr>
        <w:pStyle w:val="Bibliography"/>
        <w:spacing w:line="276" w:lineRule="auto"/>
        <w:ind w:left="810" w:hanging="450"/>
      </w:pPr>
      <w:r w:rsidRPr="009D3E40">
        <w:t xml:space="preserve">Jp, P., Su, P., Ph, V., Vb, A., Iab, M., Ar, H., &amp; S, C. (2025). Effect of soil and foliar application of nano fertilizers on growth and yield of soybean (Glycine max L. Merrill). </w:t>
      </w:r>
      <w:r w:rsidRPr="009D3E40">
        <w:rPr>
          <w:i/>
          <w:iCs/>
        </w:rPr>
        <w:t>International Journal of Research in Agronomy</w:t>
      </w:r>
      <w:r w:rsidRPr="009D3E40">
        <w:t xml:space="preserve">, </w:t>
      </w:r>
      <w:r w:rsidRPr="009D3E40">
        <w:rPr>
          <w:i/>
          <w:iCs/>
        </w:rPr>
        <w:t>8</w:t>
      </w:r>
      <w:r w:rsidRPr="009D3E40">
        <w:t>(9), 366–368. https://doi.org/10.33545/2618060X.2025.v8.i9e.3779</w:t>
      </w:r>
    </w:p>
    <w:p w14:paraId="5874D497" w14:textId="77777777" w:rsidR="009D3E40" w:rsidRPr="009D3E40" w:rsidRDefault="009D3E40" w:rsidP="00B16E15">
      <w:pPr>
        <w:pStyle w:val="Bibliography"/>
        <w:spacing w:line="276" w:lineRule="auto"/>
        <w:ind w:left="810" w:hanging="450"/>
      </w:pPr>
      <w:r w:rsidRPr="009D3E40">
        <w:lastRenderedPageBreak/>
        <w:t xml:space="preserve">Kamilah, N., Nurmayulis, N., Yenny, R. F., &amp; Sodiq, A. H. (2024). Pertumbuhan dan Hasil Kedelai (Glycine max (L.) Merrill) terhadap Pemberian Pupuk NPK dan Pupuk Organik Cair Buah Maja (Aegle marmelos L.). </w:t>
      </w:r>
      <w:r w:rsidRPr="009D3E40">
        <w:rPr>
          <w:i/>
          <w:iCs/>
        </w:rPr>
        <w:t>Agroteknika</w:t>
      </w:r>
      <w:r w:rsidRPr="009D3E40">
        <w:t xml:space="preserve">, </w:t>
      </w:r>
      <w:r w:rsidRPr="009D3E40">
        <w:rPr>
          <w:i/>
          <w:iCs/>
        </w:rPr>
        <w:t>7</w:t>
      </w:r>
      <w:r w:rsidRPr="009D3E40">
        <w:t>(4), 510–523. https://doi.org/10.55043/agroteknika.v7i4.449</w:t>
      </w:r>
    </w:p>
    <w:p w14:paraId="150C83A5" w14:textId="77777777" w:rsidR="009D3E40" w:rsidRPr="009D3E40" w:rsidRDefault="009D3E40" w:rsidP="00B16E15">
      <w:pPr>
        <w:pStyle w:val="Bibliography"/>
        <w:spacing w:line="276" w:lineRule="auto"/>
        <w:ind w:left="810" w:hanging="450"/>
      </w:pPr>
      <w:r w:rsidRPr="009D3E40">
        <w:t xml:space="preserve">Naibaho, D. C., &amp; Barus, A. (n.d.). </w:t>
      </w:r>
      <w:r w:rsidRPr="009D3E40">
        <w:rPr>
          <w:i/>
          <w:iCs/>
        </w:rPr>
        <w:t>Pengaruh Campuran Media Tumbuh Dan Dosis Pupuk Npk (16:16:16) Terhadap Pertumbuhan Kakao (theobroma Cacao L) Di Pembibitan</w:t>
      </w:r>
      <w:r w:rsidRPr="009D3E40">
        <w:t>.</w:t>
      </w:r>
    </w:p>
    <w:p w14:paraId="1C22FBCE" w14:textId="77777777" w:rsidR="009D3E40" w:rsidRPr="009D3E40" w:rsidRDefault="009D3E40" w:rsidP="00B16E15">
      <w:pPr>
        <w:pStyle w:val="Bibliography"/>
        <w:spacing w:line="276" w:lineRule="auto"/>
        <w:ind w:left="810" w:hanging="450"/>
      </w:pPr>
      <w:r w:rsidRPr="009D3E40">
        <w:t xml:space="preserve">Oyediran, O. K., Olagoke, O. O., &amp; Abiodun, S. (2025). Nano-Biofertilizers Application as Sustainable Approach to Enhance Crop Productivity and Soil Health: A Review. </w:t>
      </w:r>
      <w:r w:rsidRPr="009D3E40">
        <w:rPr>
          <w:i/>
          <w:iCs/>
        </w:rPr>
        <w:t>Global Journal of Agricultural Research</w:t>
      </w:r>
      <w:r w:rsidRPr="009D3E40">
        <w:t xml:space="preserve">, </w:t>
      </w:r>
      <w:r w:rsidRPr="009D3E40">
        <w:rPr>
          <w:i/>
          <w:iCs/>
        </w:rPr>
        <w:t>13</w:t>
      </w:r>
      <w:r w:rsidRPr="009D3E40">
        <w:t>(1), 47–71. https://doi.org/10.37745/gjar.2013/vol13n14771</w:t>
      </w:r>
    </w:p>
    <w:p w14:paraId="0522BD6B" w14:textId="77777777" w:rsidR="009D3E40" w:rsidRPr="009D3E40" w:rsidRDefault="009D3E40" w:rsidP="00B16E15">
      <w:pPr>
        <w:pStyle w:val="Bibliography"/>
        <w:spacing w:line="276" w:lineRule="auto"/>
        <w:ind w:left="810" w:hanging="450"/>
      </w:pPr>
      <w:r w:rsidRPr="009D3E40">
        <w:t xml:space="preserve">Pebian, D. F. A., Arti, I. M., &amp; Azmi, T. K. K. (2025). Integrating Bio P2000Z and NPK Fertilizers on Yield of Local Soybean to Support Food Self-Sufficiency. </w:t>
      </w:r>
      <w:r w:rsidRPr="009D3E40">
        <w:rPr>
          <w:i/>
          <w:iCs/>
        </w:rPr>
        <w:t>Jurnal Biologi Tropis</w:t>
      </w:r>
      <w:r w:rsidRPr="009D3E40">
        <w:t xml:space="preserve">, </w:t>
      </w:r>
      <w:r w:rsidRPr="009D3E40">
        <w:rPr>
          <w:i/>
          <w:iCs/>
        </w:rPr>
        <w:t>25</w:t>
      </w:r>
      <w:r w:rsidRPr="009D3E40">
        <w:t>(4b), 647–655. https://doi.org/10.29303/jbt.v25i4b.10900</w:t>
      </w:r>
    </w:p>
    <w:p w14:paraId="20C97276" w14:textId="77777777" w:rsidR="009D3E40" w:rsidRPr="009D3E40" w:rsidRDefault="009D3E40" w:rsidP="00B16E15">
      <w:pPr>
        <w:pStyle w:val="Bibliography"/>
        <w:spacing w:line="276" w:lineRule="auto"/>
        <w:ind w:left="810" w:hanging="450"/>
      </w:pPr>
      <w:r w:rsidRPr="009D3E40">
        <w:t xml:space="preserve">Prokisch, J., Ferroudj, A., Labidi, S., El-Ramady, H., &amp; Brevik, E. C. (2024). Biological Nano-Agrochemicals for Crop Production as an Emerging Way to Address Heat and Associated Stresses. </w:t>
      </w:r>
      <w:r w:rsidRPr="009D3E40">
        <w:rPr>
          <w:i/>
          <w:iCs/>
        </w:rPr>
        <w:t>Nanomaterials</w:t>
      </w:r>
      <w:r w:rsidRPr="009D3E40">
        <w:t xml:space="preserve">, </w:t>
      </w:r>
      <w:r w:rsidRPr="009D3E40">
        <w:rPr>
          <w:i/>
          <w:iCs/>
        </w:rPr>
        <w:t>14</w:t>
      </w:r>
      <w:r w:rsidRPr="009D3E40">
        <w:t>(15), 1253. https://doi.org/10.3390/nano14151253</w:t>
      </w:r>
    </w:p>
    <w:p w14:paraId="6B38E25F" w14:textId="77777777" w:rsidR="009D3E40" w:rsidRPr="009D3E40" w:rsidRDefault="009D3E40" w:rsidP="00B16E15">
      <w:pPr>
        <w:pStyle w:val="Bibliography"/>
        <w:spacing w:line="276" w:lineRule="auto"/>
        <w:ind w:left="810" w:hanging="450"/>
      </w:pPr>
      <w:r w:rsidRPr="009D3E40">
        <w:t xml:space="preserve">Wang, J., Yang, Q., Chen, Y., Liu, K., Zhang, Z., Xiong, Y., Yu, H., Yu, Y., Wang, J., Song, J., &amp; Qiu, L. (2024). QTL mapping and genomic selection of stem and branch diameter in soybean (Glycine max L.). </w:t>
      </w:r>
      <w:r w:rsidRPr="009D3E40">
        <w:rPr>
          <w:i/>
          <w:iCs/>
        </w:rPr>
        <w:t>Frontiers in Plant Science</w:t>
      </w:r>
      <w:r w:rsidRPr="009D3E40">
        <w:t xml:space="preserve">, </w:t>
      </w:r>
      <w:r w:rsidRPr="009D3E40">
        <w:rPr>
          <w:i/>
          <w:iCs/>
        </w:rPr>
        <w:t>15</w:t>
      </w:r>
      <w:r w:rsidRPr="009D3E40">
        <w:t>, 1388365. https://doi.org/10.3389/fpls.2024.1388365</w:t>
      </w:r>
    </w:p>
    <w:p w14:paraId="0051379F" w14:textId="77777777" w:rsidR="009D3E40" w:rsidRPr="009D3E40" w:rsidRDefault="009D3E40" w:rsidP="00B16E15">
      <w:pPr>
        <w:pStyle w:val="Bibliography"/>
        <w:spacing w:line="276" w:lineRule="auto"/>
        <w:ind w:left="810" w:hanging="450"/>
      </w:pPr>
      <w:r w:rsidRPr="009D3E40">
        <w:t xml:space="preserve">Widiatmanta, J., Wibowo, A. S., Serdani, A. D., Puspitorini, P., &amp; Qoyim, Z. (2023). Konsentrasi Foliar Spraying Pupuk Berteknologi Nano Dan Media Tanam Pada Pertumbuhan Dan Hasil Tanaman Zukini (cucurbita Pepo L.). </w:t>
      </w:r>
      <w:r w:rsidRPr="009D3E40">
        <w:rPr>
          <w:i/>
          <w:iCs/>
        </w:rPr>
        <w:t>VIABEL: Jurnal Ilmiah Ilmu-Ilmu Pertanian</w:t>
      </w:r>
      <w:r w:rsidRPr="009D3E40">
        <w:t xml:space="preserve">, </w:t>
      </w:r>
      <w:r w:rsidRPr="009D3E40">
        <w:rPr>
          <w:i/>
          <w:iCs/>
        </w:rPr>
        <w:t>17</w:t>
      </w:r>
      <w:r w:rsidRPr="009D3E40">
        <w:t>(2), 91–97. https://doi.org/10.35457/viabel.v17i2.3124</w:t>
      </w:r>
    </w:p>
    <w:p w14:paraId="46CF91D3" w14:textId="77777777" w:rsidR="009D3E40" w:rsidRPr="009D3E40" w:rsidRDefault="009D3E40" w:rsidP="00B16E15">
      <w:pPr>
        <w:pStyle w:val="Bibliography"/>
        <w:spacing w:line="276" w:lineRule="auto"/>
        <w:ind w:left="810" w:hanging="450"/>
      </w:pPr>
      <w:r w:rsidRPr="009D3E40">
        <w:t xml:space="preserve">Yusuf, M., Rafli, M., Nurdin, M. Y., &amp; Fridayanti, N. (2024). </w:t>
      </w:r>
      <w:r w:rsidRPr="009D3E40">
        <w:rPr>
          <w:i/>
          <w:iCs/>
        </w:rPr>
        <w:t>Pengaruh Konsentrasi Pupuk Organik Cair Terhadap Pertumbuhan dan Hasil Dua Varietas Kedelai (Glycine max (L.) Merr.)</w:t>
      </w:r>
      <w:r w:rsidRPr="009D3E40">
        <w:t>.</w:t>
      </w:r>
    </w:p>
    <w:p w14:paraId="09B2BC57" w14:textId="3A6A8023" w:rsidR="009D3E40" w:rsidRPr="00496CF7" w:rsidRDefault="009D3E40" w:rsidP="00B16E15">
      <w:pPr>
        <w:pStyle w:val="Text"/>
        <w:tabs>
          <w:tab w:val="left" w:pos="426"/>
        </w:tabs>
        <w:spacing w:line="276" w:lineRule="auto"/>
        <w:ind w:left="810" w:hanging="450"/>
        <w:rPr>
          <w:rFonts w:ascii="Cambria" w:hAnsi="Cambria"/>
          <w:b/>
          <w:bCs/>
          <w:iCs/>
          <w:sz w:val="24"/>
          <w:lang w:val="en-GB"/>
        </w:rPr>
        <w:sectPr w:rsidR="009D3E40" w:rsidRPr="00496CF7">
          <w:headerReference w:type="even" r:id="rId8"/>
          <w:headerReference w:type="default" r:id="rId9"/>
          <w:headerReference w:type="first" r:id="rId10"/>
          <w:footerReference w:type="first" r:id="rId11"/>
          <w:endnotePr>
            <w:numFmt w:val="chicago"/>
          </w:endnotePr>
          <w:pgSz w:w="11906" w:h="16838"/>
          <w:pgMar w:top="1701" w:right="1134" w:bottom="1134" w:left="1134" w:header="284" w:footer="720" w:gutter="391"/>
          <w:pgNumType w:start="1"/>
          <w:cols w:space="720"/>
          <w:formProt w:val="0"/>
          <w:titlePg/>
          <w:docGrid w:linePitch="360"/>
        </w:sectPr>
      </w:pPr>
      <w:r>
        <w:rPr>
          <w:rFonts w:ascii="Cambria" w:hAnsi="Cambria"/>
          <w:b/>
          <w:bCs/>
          <w:iCs/>
          <w:sz w:val="24"/>
          <w:lang w:val="en-GB"/>
        </w:rPr>
        <w:fldChar w:fldCharType="end"/>
      </w:r>
    </w:p>
    <w:p w14:paraId="1E9CA1C7" w14:textId="77777777" w:rsidR="00496CF7" w:rsidRDefault="00496CF7" w:rsidP="00674AC5">
      <w:pPr>
        <w:spacing w:after="0"/>
        <w:rPr>
          <w:rFonts w:ascii="Cambria" w:hAnsi="Cambria"/>
          <w:b/>
          <w:sz w:val="24"/>
        </w:rPr>
      </w:pPr>
    </w:p>
    <w:sectPr w:rsidR="00496CF7">
      <w:headerReference w:type="even" r:id="rId12"/>
      <w:headerReference w:type="default" r:id="rId13"/>
      <w:footerReference w:type="even" r:id="rId14"/>
      <w:footerReference w:type="default" r:id="rId15"/>
      <w:endnotePr>
        <w:numFmt w:val="chicago"/>
      </w:endnotePr>
      <w:pgSz w:w="11906" w:h="16838"/>
      <w:pgMar w:top="1699" w:right="1138" w:bottom="1138" w:left="1138" w:header="990" w:footer="0" w:gutter="389"/>
      <w:pgNumType w:start="2"/>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811DD7" w14:textId="77777777" w:rsidR="00907F15" w:rsidRDefault="00907F15">
      <w:r>
        <w:separator/>
      </w:r>
    </w:p>
  </w:endnote>
  <w:endnote w:type="continuationSeparator" w:id="0">
    <w:p w14:paraId="58EE407D" w14:textId="77777777" w:rsidR="00907F15" w:rsidRDefault="00907F15">
      <w:r>
        <w:continuationSeparator/>
      </w:r>
    </w:p>
  </w:endnote>
  <w:endnote w:id="1">
    <w:p w14:paraId="6173F4BF" w14:textId="77777777" w:rsidR="008533E0" w:rsidRPr="00022726" w:rsidRDefault="008533E0" w:rsidP="008533E0">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ulimChe">
    <w:charset w:val="81"/>
    <w:family w:val="modern"/>
    <w:pitch w:val="fixed"/>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Times">
    <w:altName w:val="Times New Roman"/>
    <w:panose1 w:val="02020603050405020304"/>
    <w:charset w:val="01"/>
    <w:family w:val="roman"/>
    <w:pitch w:val="variable"/>
    <w:sig w:usb0="E0002EFF" w:usb1="C000785B" w:usb2="00000009" w:usb3="00000000" w:csb0="000001FF" w:csb1="00000000"/>
  </w:font>
  <w:font w:name="Liberation Sans">
    <w:altName w:val="Arial"/>
    <w:charset w:val="01"/>
    <w:family w:val="roman"/>
    <w:pitch w:val="variable"/>
  </w:font>
  <w:font w:name="Noto Sans">
    <w:charset w:val="00"/>
    <w:family w:val="swiss"/>
    <w:pitch w:val="variable"/>
    <w:sig w:usb0="E00082FF" w:usb1="400078FF" w:usb2="00000021" w:usb3="00000000" w:csb0="0000019F" w:csb1="00000000"/>
  </w:font>
  <w:font w:name="FreeSans">
    <w:panose1 w:val="00000000000000000000"/>
    <w:charset w:val="00"/>
    <w:family w:val="roman"/>
    <w:notTrueType/>
    <w:pitch w:val="default"/>
  </w:font>
  <w:font w:name="함초롬바탕">
    <w:charset w:val="01"/>
    <w:family w:val="roman"/>
    <w:pitch w:val="variable"/>
  </w:font>
  <w:font w:name="Gulim">
    <w:altName w:val="굴림"/>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9C071" w14:textId="77777777" w:rsidR="006F7945" w:rsidRDefault="00000000">
    <w:pPr>
      <w:pStyle w:val="Footer"/>
      <w:jc w:val="right"/>
      <w:rPr>
        <w:b/>
      </w:rPr>
    </w:pPr>
    <w:r>
      <w:tab/>
    </w:r>
  </w:p>
  <w:p w14:paraId="1A789E66" w14:textId="77777777" w:rsidR="006F7945" w:rsidRDefault="006F7945">
    <w:pPr>
      <w:pStyle w:val="Footer"/>
      <w:tabs>
        <w:tab w:val="clear" w:pos="46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E2159" w14:textId="77777777" w:rsidR="006F7945" w:rsidRDefault="006F794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0940A" w14:textId="77777777" w:rsidR="006F7945" w:rsidRDefault="006F79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88E2F4" w14:textId="77777777" w:rsidR="00907F15" w:rsidRDefault="00907F15">
      <w:pPr>
        <w:spacing w:after="0"/>
      </w:pPr>
      <w:r>
        <w:separator/>
      </w:r>
    </w:p>
  </w:footnote>
  <w:footnote w:type="continuationSeparator" w:id="0">
    <w:p w14:paraId="2C75BC1E" w14:textId="77777777" w:rsidR="00907F15" w:rsidRDefault="00907F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E2CDD" w14:textId="77777777" w:rsidR="006F7945" w:rsidRDefault="00000000">
    <w:pPr>
      <w:pStyle w:val="Header"/>
      <w:tabs>
        <w:tab w:val="clear" w:pos="4680"/>
        <w:tab w:val="clear" w:pos="9360"/>
        <w:tab w:val="right" w:pos="9270"/>
      </w:tabs>
      <w:spacing w:after="0"/>
      <w:jc w:val="right"/>
      <w:rPr>
        <w:rFonts w:ascii="Cambria" w:hAnsi="Cambria"/>
        <w:color w:val="7F7F7F"/>
        <w:lang w:val="en-US"/>
      </w:rPr>
    </w:pPr>
    <w:r>
      <w:rPr>
        <w:rFonts w:ascii="Cambria" w:hAnsi="Cambria"/>
        <w:b/>
        <w:color w:val="7F7F7F"/>
      </w:rPr>
      <w:fldChar w:fldCharType="begin"/>
    </w:r>
    <w:r>
      <w:rPr>
        <w:rFonts w:ascii="Cambria" w:hAnsi="Cambria"/>
        <w:b/>
        <w:color w:val="7F7F7F"/>
      </w:rPr>
      <w:instrText xml:space="preserve"> PAGE </w:instrText>
    </w:r>
    <w:r>
      <w:rPr>
        <w:rFonts w:ascii="Cambria" w:hAnsi="Cambria"/>
        <w:b/>
        <w:color w:val="7F7F7F"/>
      </w:rPr>
      <w:fldChar w:fldCharType="separate"/>
    </w:r>
    <w:r>
      <w:rPr>
        <w:rFonts w:ascii="Cambria" w:hAnsi="Cambria"/>
        <w:b/>
        <w:color w:val="7F7F7F"/>
      </w:rPr>
      <w:t>2</w:t>
    </w:r>
    <w:r>
      <w:rPr>
        <w:rFonts w:ascii="Cambria" w:hAnsi="Cambria"/>
        <w:b/>
        <w:color w:val="7F7F7F"/>
      </w:rPr>
      <w:fldChar w:fldCharType="end"/>
    </w:r>
    <w:r>
      <w:rPr>
        <w:rFonts w:ascii="Cambria" w:hAnsi="Cambria"/>
        <w:b/>
        <w:color w:val="7F7F7F"/>
      </w:rPr>
      <w:t xml:space="preserve"> </w:t>
    </w:r>
    <w:r>
      <w:rPr>
        <w:rFonts w:ascii="Cambria" w:hAnsi="Cambria"/>
        <w:b/>
        <w:color w:val="7F7F7F"/>
      </w:rPr>
      <w:tab/>
    </w:r>
    <w:r>
      <w:rPr>
        <w:rFonts w:ascii="Cambria" w:hAnsi="Cambria"/>
        <w:color w:val="7F7F7F"/>
        <w:lang w:val="en-US"/>
      </w:rPr>
      <w:t xml:space="preserve">Please Put the Title of the Paper in this Line with Capitalize Each Words, </w:t>
    </w:r>
  </w:p>
  <w:p w14:paraId="036BE9A4" w14:textId="77777777" w:rsidR="006F7945" w:rsidRDefault="00000000">
    <w:pPr>
      <w:pStyle w:val="Header"/>
      <w:tabs>
        <w:tab w:val="clear" w:pos="4680"/>
        <w:tab w:val="clear" w:pos="9360"/>
        <w:tab w:val="right" w:pos="9270"/>
      </w:tabs>
      <w:spacing w:after="0"/>
      <w:jc w:val="right"/>
      <w:rPr>
        <w:rFonts w:ascii="Cambria" w:hAnsi="Cambria"/>
        <w:color w:val="7F7F7F"/>
        <w:lang w:val="en-US"/>
      </w:rPr>
    </w:pPr>
    <w:r>
      <w:rPr>
        <w:rFonts w:ascii="Cambria" w:hAnsi="Cambria"/>
        <w:color w:val="7F7F7F"/>
        <w:lang w:val="en-US"/>
      </w:rPr>
      <w:tab/>
      <w:t>This Second Line can be Used if Necessary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3699B" w14:textId="77777777" w:rsidR="006F7945" w:rsidRDefault="00000000">
    <w:pPr>
      <w:pStyle w:val="Header"/>
      <w:tabs>
        <w:tab w:val="clear" w:pos="4680"/>
        <w:tab w:val="clear" w:pos="9360"/>
        <w:tab w:val="right" w:pos="9270"/>
      </w:tabs>
      <w:rPr>
        <w:rFonts w:ascii="Cambria" w:hAnsi="Cambria"/>
        <w:color w:val="7F7F7F"/>
      </w:rPr>
    </w:pPr>
    <w:r>
      <w:rPr>
        <w:rFonts w:ascii="Cambria" w:hAnsi="Cambria"/>
        <w:color w:val="7F7F7F"/>
        <w:lang w:val="id-ID"/>
      </w:rPr>
      <w:t xml:space="preserve">Last Name of the Corresponding Author </w:t>
    </w:r>
    <w:r>
      <w:rPr>
        <w:rFonts w:ascii="Cambria" w:hAnsi="Cambria"/>
        <w:color w:val="7F7F7F"/>
        <w:lang w:val="en-US"/>
      </w:rPr>
      <w:t>(</w:t>
    </w:r>
    <w:r>
      <w:rPr>
        <w:rFonts w:ascii="Cambria" w:hAnsi="Cambria"/>
        <w:color w:val="7F7F7F"/>
        <w:lang w:val="id-ID"/>
      </w:rPr>
      <w:t>et al.</w:t>
    </w:r>
    <w:r>
      <w:rPr>
        <w:rFonts w:ascii="Cambria" w:hAnsi="Cambria"/>
        <w:color w:val="7F7F7F"/>
        <w:lang w:val="en-US"/>
      </w:rPr>
      <w:t>)</w:t>
    </w:r>
    <w:r>
      <w:rPr>
        <w:rFonts w:ascii="Cambria" w:hAnsi="Cambria"/>
        <w:color w:val="7F7F7F"/>
        <w:lang w:val="id-ID"/>
      </w:rPr>
      <w:t xml:space="preserve">  </w:t>
    </w:r>
    <w:r>
      <w:rPr>
        <w:rFonts w:ascii="Cambria" w:hAnsi="Cambria"/>
        <w:color w:val="7F7F7F"/>
      </w:rPr>
      <w:tab/>
    </w:r>
    <w:r>
      <w:rPr>
        <w:rFonts w:ascii="Cambria" w:hAnsi="Cambria"/>
        <w:b/>
        <w:color w:val="7F7F7F"/>
      </w:rPr>
      <w:fldChar w:fldCharType="begin"/>
    </w:r>
    <w:r>
      <w:rPr>
        <w:rFonts w:ascii="Cambria" w:hAnsi="Cambria"/>
        <w:b/>
        <w:color w:val="7F7F7F"/>
      </w:rPr>
      <w:instrText xml:space="preserve"> PAGE </w:instrText>
    </w:r>
    <w:r>
      <w:rPr>
        <w:rFonts w:ascii="Cambria" w:hAnsi="Cambria"/>
        <w:b/>
        <w:color w:val="7F7F7F"/>
      </w:rPr>
      <w:fldChar w:fldCharType="separate"/>
    </w:r>
    <w:r>
      <w:rPr>
        <w:rFonts w:ascii="Cambria" w:hAnsi="Cambria"/>
        <w:b/>
        <w:color w:val="7F7F7F"/>
      </w:rPr>
      <w:t>0</w:t>
    </w:r>
    <w:r>
      <w:rPr>
        <w:rFonts w:ascii="Cambria" w:hAnsi="Cambria"/>
        <w:b/>
        <w:color w:val="7F7F7F"/>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DE36A" w14:textId="77777777" w:rsidR="006F7945" w:rsidRDefault="00000000">
    <w:pPr>
      <w:tabs>
        <w:tab w:val="left" w:pos="1260"/>
      </w:tabs>
      <w:snapToGrid w:val="0"/>
      <w:spacing w:before="240" w:after="0"/>
      <w:ind w:firstLine="1260"/>
      <w:jc w:val="left"/>
      <w:rPr>
        <w:rFonts w:ascii="Cambria" w:hAnsi="Cambria"/>
        <w:color w:val="404040" w:themeColor="text1" w:themeTint="BF"/>
        <w:sz w:val="20"/>
        <w:szCs w:val="20"/>
        <w:lang w:val="en-US"/>
      </w:rPr>
    </w:pPr>
    <w:r>
      <w:rPr>
        <w:noProof/>
      </w:rPr>
      <w:drawing>
        <wp:anchor distT="0" distB="0" distL="0" distR="0" simplePos="0" relativeHeight="2" behindDoc="1" locked="0" layoutInCell="0" allowOverlap="1" wp14:anchorId="01A6F452" wp14:editId="7CF79F2A">
          <wp:simplePos x="0" y="0"/>
          <wp:positionH relativeFrom="column">
            <wp:posOffset>62230</wp:posOffset>
          </wp:positionH>
          <wp:positionV relativeFrom="paragraph">
            <wp:posOffset>158115</wp:posOffset>
          </wp:positionV>
          <wp:extent cx="681990" cy="964565"/>
          <wp:effectExtent l="0" t="0" r="0" b="0"/>
          <wp:wrapNone/>
          <wp:docPr id="15961460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9"/>
                  <pic:cNvPicPr>
                    <a:picLocks noChangeAspect="1" noChangeArrowheads="1"/>
                  </pic:cNvPicPr>
                </pic:nvPicPr>
                <pic:blipFill>
                  <a:blip r:embed="rId1"/>
                  <a:stretch>
                    <a:fillRect/>
                  </a:stretch>
                </pic:blipFill>
                <pic:spPr bwMode="auto">
                  <a:xfrm>
                    <a:off x="0" y="0"/>
                    <a:ext cx="681990" cy="964565"/>
                  </a:xfrm>
                  <a:prstGeom prst="rect">
                    <a:avLst/>
                  </a:prstGeom>
                </pic:spPr>
              </pic:pic>
            </a:graphicData>
          </a:graphic>
        </wp:anchor>
      </w:drawing>
    </w:r>
    <w:r>
      <w:rPr>
        <w:rFonts w:ascii="Cambria" w:hAnsi="Cambria"/>
        <w:b/>
        <w:sz w:val="20"/>
        <w:szCs w:val="20"/>
        <w:lang w:val="id-ID" w:eastAsia="id-ID"/>
      </w:rPr>
      <w:t xml:space="preserve"> JAPPRI </w:t>
    </w:r>
    <w:r>
      <w:rPr>
        <w:rFonts w:ascii="Cambria" w:hAnsi="Cambria"/>
        <w:b/>
        <w:sz w:val="20"/>
        <w:szCs w:val="20"/>
        <w:lang w:val="en-US" w:eastAsia="id-ID"/>
      </w:rPr>
      <w:t xml:space="preserve">, </w:t>
    </w:r>
    <w:r>
      <w:rPr>
        <w:rFonts w:ascii="Cambria" w:hAnsi="Cambria"/>
        <w:color w:val="404040" w:themeColor="text1" w:themeTint="BF"/>
        <w:sz w:val="20"/>
        <w:szCs w:val="20"/>
        <w:lang w:val="en-US"/>
      </w:rPr>
      <w:t>Vol 4 No 1 Maret 2022 01-11</w:t>
    </w:r>
  </w:p>
  <w:p w14:paraId="384A2603" w14:textId="77777777" w:rsidR="006F7945" w:rsidRDefault="00000000">
    <w:pPr>
      <w:tabs>
        <w:tab w:val="left" w:pos="1260"/>
        <w:tab w:val="right" w:pos="9244"/>
      </w:tabs>
      <w:spacing w:after="0"/>
      <w:jc w:val="left"/>
      <w:rPr>
        <w:rFonts w:ascii="Cambria" w:hAnsi="Cambria"/>
        <w:color w:val="404040" w:themeColor="text1" w:themeTint="BF"/>
        <w:sz w:val="20"/>
        <w:szCs w:val="20"/>
      </w:rPr>
    </w:pPr>
    <w:r>
      <w:rPr>
        <w:rFonts w:ascii="Cambria" w:hAnsi="Cambria"/>
        <w:color w:val="404040" w:themeColor="text1" w:themeTint="BF"/>
        <w:sz w:val="20"/>
        <w:szCs w:val="20"/>
      </w:rPr>
      <w:tab/>
      <w:t>e-ISSN: 2809-8919 ; p-ISSN : 2809-8897</w:t>
    </w:r>
  </w:p>
  <w:p w14:paraId="0FA10607" w14:textId="77777777" w:rsidR="006F7945" w:rsidRDefault="00000000">
    <w:pPr>
      <w:tabs>
        <w:tab w:val="left" w:pos="1260"/>
        <w:tab w:val="right" w:pos="9244"/>
      </w:tabs>
      <w:spacing w:after="0"/>
      <w:ind w:left="1260"/>
      <w:jc w:val="left"/>
      <w:rPr>
        <w:rFonts w:ascii="Cambria" w:hAnsi="Cambria"/>
        <w:i/>
        <w:color w:val="404040" w:themeColor="text1" w:themeTint="BF"/>
        <w:sz w:val="20"/>
        <w:szCs w:val="20"/>
      </w:rPr>
    </w:pPr>
    <w:r>
      <w:rPr>
        <w:rFonts w:ascii="Cambria" w:hAnsi="Cambria"/>
        <w:i/>
        <w:color w:val="404040" w:themeColor="text1" w:themeTint="BF"/>
        <w:sz w:val="20"/>
        <w:szCs w:val="20"/>
      </w:rPr>
      <w:t>Received 14 Januari 2022 / Revised 3 Februari 2022 / Accepted 24 Februari 2022</w:t>
    </w:r>
  </w:p>
  <w:p w14:paraId="2F70F237" w14:textId="77777777" w:rsidR="006F7945" w:rsidRDefault="006F7945">
    <w:pPr>
      <w:tabs>
        <w:tab w:val="left" w:pos="1260"/>
        <w:tab w:val="right" w:pos="9244"/>
      </w:tabs>
      <w:spacing w:after="0"/>
      <w:jc w:val="left"/>
      <w:rPr>
        <w:rFonts w:ascii="Calibri" w:hAnsi="Calibri"/>
        <w:color w:val="7F7F7F"/>
        <w:szCs w:val="22"/>
      </w:rPr>
    </w:pPr>
  </w:p>
  <w:p w14:paraId="1B090040" w14:textId="77777777" w:rsidR="006F7945" w:rsidRDefault="00000000">
    <w:pPr>
      <w:tabs>
        <w:tab w:val="left" w:pos="1260"/>
        <w:tab w:val="right" w:pos="9244"/>
      </w:tabs>
      <w:spacing w:after="0"/>
      <w:jc w:val="left"/>
      <w:rPr>
        <w:rFonts w:ascii="Cambria" w:hAnsi="Cambria"/>
        <w:color w:val="7F7F7F"/>
        <w:sz w:val="28"/>
        <w:szCs w:val="28"/>
      </w:rPr>
    </w:pPr>
    <w:r>
      <w:rPr>
        <w:rFonts w:ascii="Cambria" w:hAnsi="Cambria"/>
        <w:color w:val="002060"/>
        <w:sz w:val="28"/>
        <w:szCs w:val="28"/>
      </w:rPr>
      <w:tab/>
      <w:t>Jurnal Agroteknologi  Pertanian &amp; Publikasi Riset Ilmiah</w:t>
    </w:r>
  </w:p>
  <w:p w14:paraId="435B49AD" w14:textId="77777777" w:rsidR="006F7945" w:rsidRDefault="00000000">
    <w:pPr>
      <w:pBdr>
        <w:bottom w:val="single" w:sz="18" w:space="1" w:color="404040"/>
      </w:pBdr>
      <w:tabs>
        <w:tab w:val="left" w:pos="1260"/>
        <w:tab w:val="right" w:pos="9244"/>
      </w:tabs>
      <w:spacing w:after="0"/>
      <w:jc w:val="left"/>
      <w:rPr>
        <w:rFonts w:asciiTheme="minorHAnsi" w:hAnsiTheme="minorHAnsi" w:cstheme="minorHAnsi"/>
        <w:color w:val="7F7F7F"/>
        <w:szCs w:val="22"/>
        <w:lang w:val="id-ID"/>
      </w:rPr>
    </w:pPr>
    <w:r>
      <w:rPr>
        <w:rFonts w:asciiTheme="minorHAnsi" w:hAnsiTheme="minorHAnsi" w:cstheme="minorHAnsi"/>
        <w:color w:val="7F7F7F"/>
        <w:szCs w:val="22"/>
      </w:rPr>
      <w:tab/>
      <w:t>https://jurnal.ugp.ac.id/index.php/JAPPRI</w:t>
    </w:r>
    <w:r>
      <w:rPr>
        <w:rFonts w:asciiTheme="minorHAnsi" w:hAnsiTheme="minorHAnsi" w:cstheme="minorHAnsi"/>
        <w:color w:val="7F7F7F"/>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D240" w14:textId="77777777" w:rsidR="006F7945" w:rsidRDefault="00000000">
    <w:pPr>
      <w:pStyle w:val="Header"/>
      <w:tabs>
        <w:tab w:val="clear" w:pos="4680"/>
        <w:tab w:val="clear" w:pos="9360"/>
        <w:tab w:val="right" w:pos="9270"/>
      </w:tabs>
      <w:spacing w:after="0"/>
      <w:jc w:val="right"/>
      <w:rPr>
        <w:rFonts w:ascii="Cambria" w:hAnsi="Cambria"/>
        <w:color w:val="7F7F7F"/>
        <w:lang w:val="en-US"/>
      </w:rPr>
    </w:pPr>
    <w:r>
      <w:rPr>
        <w:rFonts w:ascii="Cambria" w:hAnsi="Cambria"/>
        <w:b/>
        <w:color w:val="7F7F7F"/>
      </w:rPr>
      <w:fldChar w:fldCharType="begin"/>
    </w:r>
    <w:r>
      <w:rPr>
        <w:rFonts w:ascii="Cambria" w:hAnsi="Cambria"/>
        <w:b/>
        <w:color w:val="7F7F7F"/>
      </w:rPr>
      <w:instrText xml:space="preserve"> PAGE </w:instrText>
    </w:r>
    <w:r>
      <w:rPr>
        <w:rFonts w:ascii="Cambria" w:hAnsi="Cambria"/>
        <w:b/>
        <w:color w:val="7F7F7F"/>
      </w:rPr>
      <w:fldChar w:fldCharType="separate"/>
    </w:r>
    <w:r>
      <w:rPr>
        <w:rFonts w:ascii="Cambria" w:hAnsi="Cambria"/>
        <w:b/>
        <w:color w:val="7F7F7F"/>
      </w:rPr>
      <w:t>6</w:t>
    </w:r>
    <w:r>
      <w:rPr>
        <w:rFonts w:ascii="Cambria" w:hAnsi="Cambria"/>
        <w:b/>
        <w:color w:val="7F7F7F"/>
      </w:rPr>
      <w:fldChar w:fldCharType="end"/>
    </w:r>
    <w:r>
      <w:rPr>
        <w:rFonts w:ascii="Cambria" w:hAnsi="Cambria"/>
        <w:b/>
        <w:color w:val="7F7F7F"/>
      </w:rPr>
      <w:t xml:space="preserve"> </w:t>
    </w:r>
    <w:r>
      <w:rPr>
        <w:rFonts w:ascii="Cambria" w:hAnsi="Cambria"/>
        <w:b/>
        <w:color w:val="7F7F7F"/>
      </w:rPr>
      <w:tab/>
    </w:r>
    <w:r>
      <w:rPr>
        <w:rFonts w:ascii="Cambria" w:hAnsi="Cambria"/>
        <w:color w:val="7F7F7F"/>
        <w:lang w:val="en-US"/>
      </w:rPr>
      <w:t xml:space="preserve">Please Put the Title of the Paper in this Line with Capitalize Each Words, </w:t>
    </w:r>
  </w:p>
  <w:p w14:paraId="1880C608" w14:textId="77777777" w:rsidR="006F7945" w:rsidRDefault="00000000">
    <w:pPr>
      <w:pStyle w:val="Header"/>
      <w:tabs>
        <w:tab w:val="clear" w:pos="4680"/>
        <w:tab w:val="clear" w:pos="9360"/>
        <w:tab w:val="right" w:pos="9270"/>
      </w:tabs>
      <w:spacing w:after="0"/>
      <w:jc w:val="right"/>
      <w:rPr>
        <w:rFonts w:ascii="Cambria" w:hAnsi="Cambria"/>
        <w:color w:val="7F7F7F"/>
        <w:lang w:val="en-US"/>
      </w:rPr>
    </w:pPr>
    <w:r>
      <w:rPr>
        <w:rFonts w:ascii="Cambria" w:hAnsi="Cambria"/>
        <w:color w:val="7F7F7F"/>
        <w:lang w:val="en-US"/>
      </w:rPr>
      <w:tab/>
      <w:t>This Second Line can be Used if Necessary</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8D0F9" w14:textId="77777777" w:rsidR="006F7945" w:rsidRDefault="00000000">
    <w:pPr>
      <w:pStyle w:val="Header"/>
      <w:tabs>
        <w:tab w:val="clear" w:pos="4680"/>
        <w:tab w:val="clear" w:pos="9360"/>
        <w:tab w:val="right" w:pos="9270"/>
      </w:tabs>
      <w:rPr>
        <w:rFonts w:ascii="Cambria" w:hAnsi="Cambria"/>
        <w:color w:val="7F7F7F"/>
      </w:rPr>
    </w:pPr>
    <w:r>
      <w:rPr>
        <w:rFonts w:ascii="Cambria" w:hAnsi="Cambria"/>
        <w:color w:val="7F7F7F"/>
        <w:lang w:val="id-ID"/>
      </w:rPr>
      <w:t xml:space="preserve">Last Name of the Corresponding Author </w:t>
    </w:r>
    <w:r>
      <w:rPr>
        <w:rFonts w:ascii="Cambria" w:hAnsi="Cambria"/>
        <w:color w:val="7F7F7F"/>
        <w:lang w:val="en-US"/>
      </w:rPr>
      <w:t>(</w:t>
    </w:r>
    <w:r>
      <w:rPr>
        <w:rFonts w:ascii="Cambria" w:hAnsi="Cambria"/>
        <w:color w:val="7F7F7F"/>
        <w:lang w:val="id-ID"/>
      </w:rPr>
      <w:t>et al.</w:t>
    </w:r>
    <w:r>
      <w:rPr>
        <w:rFonts w:ascii="Cambria" w:hAnsi="Cambria"/>
        <w:color w:val="7F7F7F"/>
        <w:lang w:val="en-US"/>
      </w:rPr>
      <w:t>)</w:t>
    </w:r>
    <w:r>
      <w:rPr>
        <w:rFonts w:ascii="Cambria" w:hAnsi="Cambria"/>
        <w:color w:val="7F7F7F"/>
        <w:lang w:val="id-ID"/>
      </w:rPr>
      <w:t xml:space="preserve">  </w:t>
    </w:r>
    <w:r>
      <w:rPr>
        <w:rFonts w:ascii="Cambria" w:hAnsi="Cambria"/>
        <w:color w:val="7F7F7F"/>
      </w:rPr>
      <w:tab/>
    </w:r>
    <w:r>
      <w:rPr>
        <w:rFonts w:ascii="Cambria" w:hAnsi="Cambria"/>
        <w:b/>
        <w:color w:val="7F7F7F"/>
      </w:rPr>
      <w:fldChar w:fldCharType="begin"/>
    </w:r>
    <w:r>
      <w:rPr>
        <w:rFonts w:ascii="Cambria" w:hAnsi="Cambria"/>
        <w:b/>
        <w:color w:val="7F7F7F"/>
      </w:rPr>
      <w:instrText xml:space="preserve"> PAGE </w:instrText>
    </w:r>
    <w:r>
      <w:rPr>
        <w:rFonts w:ascii="Cambria" w:hAnsi="Cambria"/>
        <w:b/>
        <w:color w:val="7F7F7F"/>
      </w:rPr>
      <w:fldChar w:fldCharType="separate"/>
    </w:r>
    <w:r>
      <w:rPr>
        <w:rFonts w:ascii="Cambria" w:hAnsi="Cambria"/>
        <w:b/>
        <w:color w:val="7F7F7F"/>
      </w:rPr>
      <w:t>7</w:t>
    </w:r>
    <w:r>
      <w:rPr>
        <w:rFonts w:ascii="Cambria" w:hAnsi="Cambria"/>
        <w:b/>
        <w:color w:val="7F7F7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C60"/>
    <w:multiLevelType w:val="multilevel"/>
    <w:tmpl w:val="CFE8AE62"/>
    <w:lvl w:ilvl="0">
      <w:start w:val="1"/>
      <w:numFmt w:val="decimal"/>
      <w:pStyle w:val="figurecaption"/>
      <w:lvlText w:val="Figure %1. "/>
      <w:lvlJc w:val="left"/>
      <w:pPr>
        <w:tabs>
          <w:tab w:val="num" w:pos="1350"/>
        </w:tabs>
        <w:ind w:left="0" w:firstLine="0"/>
      </w:pPr>
      <w:rPr>
        <w:rFonts w:ascii="Times New Roman" w:hAnsi="Times New Roman" w:cs="Times New Roman"/>
        <w:b w:val="0"/>
        <w:bCs w:val="0"/>
        <w:i w:val="0"/>
        <w:iCs w:val="0"/>
        <w:color w:val="auto"/>
        <w:sz w:val="16"/>
        <w:szCs w:val="16"/>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13C065FA"/>
    <w:multiLevelType w:val="multilevel"/>
    <w:tmpl w:val="0DCEF362"/>
    <w:lvl w:ilvl="0">
      <w:start w:val="1"/>
      <w:numFmt w:val="decimal"/>
      <w:pStyle w:val="Reference"/>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5915D8A"/>
    <w:multiLevelType w:val="multilevel"/>
    <w:tmpl w:val="876E18DE"/>
    <w:lvl w:ilvl="0">
      <w:start w:val="1"/>
      <w:numFmt w:val="bullet"/>
      <w:pStyle w:val="bulletlist"/>
      <w:lvlText w:val=""/>
      <w:lvlJc w:val="left"/>
      <w:pPr>
        <w:tabs>
          <w:tab w:val="num" w:pos="648"/>
        </w:tabs>
        <w:ind w:left="648"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4BE5483D"/>
    <w:multiLevelType w:val="multilevel"/>
    <w:tmpl w:val="2A904DC2"/>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660A51C9"/>
    <w:multiLevelType w:val="multilevel"/>
    <w:tmpl w:val="8370082E"/>
    <w:lvl w:ilvl="0">
      <w:start w:val="1"/>
      <w:numFmt w:val="decimal"/>
      <w:pStyle w:val="tablehead"/>
      <w:lvlText w:val="Table %1"/>
      <w:lvlJc w:val="left"/>
      <w:pPr>
        <w:tabs>
          <w:tab w:val="num" w:pos="1080"/>
        </w:tabs>
        <w:ind w:left="0" w:firstLine="0"/>
      </w:pPr>
      <w:rPr>
        <w:rFonts w:ascii="Times New Roman" w:hAnsi="Times New Roman" w:cs="Times New Roman"/>
        <w:b w:val="0"/>
        <w:bCs w:val="0"/>
        <w:i w:val="0"/>
        <w:iCs w:val="0"/>
        <w:sz w:val="24"/>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7D0C0AF3"/>
    <w:multiLevelType w:val="hybridMultilevel"/>
    <w:tmpl w:val="90F6AEBA"/>
    <w:lvl w:ilvl="0" w:tplc="38090001">
      <w:start w:val="1"/>
      <w:numFmt w:val="bullet"/>
      <w:lvlText w:val=""/>
      <w:lvlJc w:val="left"/>
      <w:pPr>
        <w:ind w:left="786" w:hanging="360"/>
      </w:pPr>
      <w:rPr>
        <w:rFonts w:ascii="Symbol" w:hAnsi="Symbol" w:hint="default"/>
      </w:rPr>
    </w:lvl>
    <w:lvl w:ilvl="1" w:tplc="38090003" w:tentative="1">
      <w:start w:val="1"/>
      <w:numFmt w:val="bullet"/>
      <w:lvlText w:val="o"/>
      <w:lvlJc w:val="left"/>
      <w:pPr>
        <w:ind w:left="1080" w:hanging="360"/>
      </w:pPr>
      <w:rPr>
        <w:rFonts w:ascii="Courier New" w:hAnsi="Courier New" w:cs="Courier New" w:hint="default"/>
      </w:rPr>
    </w:lvl>
    <w:lvl w:ilvl="2" w:tplc="38090005" w:tentative="1">
      <w:start w:val="1"/>
      <w:numFmt w:val="bullet"/>
      <w:lvlText w:val=""/>
      <w:lvlJc w:val="left"/>
      <w:pPr>
        <w:ind w:left="1800" w:hanging="360"/>
      </w:pPr>
      <w:rPr>
        <w:rFonts w:ascii="Wingdings" w:hAnsi="Wingdings" w:hint="default"/>
      </w:rPr>
    </w:lvl>
    <w:lvl w:ilvl="3" w:tplc="38090001" w:tentative="1">
      <w:start w:val="1"/>
      <w:numFmt w:val="bullet"/>
      <w:lvlText w:val=""/>
      <w:lvlJc w:val="left"/>
      <w:pPr>
        <w:ind w:left="2520" w:hanging="360"/>
      </w:pPr>
      <w:rPr>
        <w:rFonts w:ascii="Symbol" w:hAnsi="Symbol" w:hint="default"/>
      </w:rPr>
    </w:lvl>
    <w:lvl w:ilvl="4" w:tplc="38090003" w:tentative="1">
      <w:start w:val="1"/>
      <w:numFmt w:val="bullet"/>
      <w:lvlText w:val="o"/>
      <w:lvlJc w:val="left"/>
      <w:pPr>
        <w:ind w:left="3240" w:hanging="360"/>
      </w:pPr>
      <w:rPr>
        <w:rFonts w:ascii="Courier New" w:hAnsi="Courier New" w:cs="Courier New" w:hint="default"/>
      </w:rPr>
    </w:lvl>
    <w:lvl w:ilvl="5" w:tplc="38090005" w:tentative="1">
      <w:start w:val="1"/>
      <w:numFmt w:val="bullet"/>
      <w:lvlText w:val=""/>
      <w:lvlJc w:val="left"/>
      <w:pPr>
        <w:ind w:left="3960" w:hanging="360"/>
      </w:pPr>
      <w:rPr>
        <w:rFonts w:ascii="Wingdings" w:hAnsi="Wingdings" w:hint="default"/>
      </w:rPr>
    </w:lvl>
    <w:lvl w:ilvl="6" w:tplc="38090001" w:tentative="1">
      <w:start w:val="1"/>
      <w:numFmt w:val="bullet"/>
      <w:lvlText w:val=""/>
      <w:lvlJc w:val="left"/>
      <w:pPr>
        <w:ind w:left="4680" w:hanging="360"/>
      </w:pPr>
      <w:rPr>
        <w:rFonts w:ascii="Symbol" w:hAnsi="Symbol" w:hint="default"/>
      </w:rPr>
    </w:lvl>
    <w:lvl w:ilvl="7" w:tplc="38090003" w:tentative="1">
      <w:start w:val="1"/>
      <w:numFmt w:val="bullet"/>
      <w:lvlText w:val="o"/>
      <w:lvlJc w:val="left"/>
      <w:pPr>
        <w:ind w:left="5400" w:hanging="360"/>
      </w:pPr>
      <w:rPr>
        <w:rFonts w:ascii="Courier New" w:hAnsi="Courier New" w:cs="Courier New" w:hint="default"/>
      </w:rPr>
    </w:lvl>
    <w:lvl w:ilvl="8" w:tplc="38090005" w:tentative="1">
      <w:start w:val="1"/>
      <w:numFmt w:val="bullet"/>
      <w:lvlText w:val=""/>
      <w:lvlJc w:val="left"/>
      <w:pPr>
        <w:ind w:left="6120" w:hanging="360"/>
      </w:pPr>
      <w:rPr>
        <w:rFonts w:ascii="Wingdings" w:hAnsi="Wingdings" w:hint="default"/>
      </w:rPr>
    </w:lvl>
  </w:abstractNum>
  <w:num w:numId="1" w16cid:durableId="900872529">
    <w:abstractNumId w:val="3"/>
  </w:num>
  <w:num w:numId="2" w16cid:durableId="1577785119">
    <w:abstractNumId w:val="2"/>
  </w:num>
  <w:num w:numId="3" w16cid:durableId="912082628">
    <w:abstractNumId w:val="0"/>
  </w:num>
  <w:num w:numId="4" w16cid:durableId="1984919560">
    <w:abstractNumId w:val="4"/>
  </w:num>
  <w:num w:numId="5" w16cid:durableId="680164903">
    <w:abstractNumId w:val="1"/>
  </w:num>
  <w:num w:numId="6" w16cid:durableId="735991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autoHyphenation/>
  <w:hyphenationZone w:val="425"/>
  <w:doNotHyphenateCaps/>
  <w:evenAndOddHeaders/>
  <w:characterSpacingControl w:val="doNotCompress"/>
  <w:footnotePr>
    <w:footnote w:id="-1"/>
    <w:footnote w:id="0"/>
  </w:footnotePr>
  <w:endnotePr>
    <w:numFmt w:val="chicago"/>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945"/>
    <w:rsid w:val="00006042"/>
    <w:rsid w:val="00010C6F"/>
    <w:rsid w:val="00041B40"/>
    <w:rsid w:val="00062CC7"/>
    <w:rsid w:val="00085020"/>
    <w:rsid w:val="00085D36"/>
    <w:rsid w:val="000A173C"/>
    <w:rsid w:val="000A4C3A"/>
    <w:rsid w:val="000B22BD"/>
    <w:rsid w:val="000C4BBF"/>
    <w:rsid w:val="000F15B7"/>
    <w:rsid w:val="000F1845"/>
    <w:rsid w:val="000F2016"/>
    <w:rsid w:val="00100AFF"/>
    <w:rsid w:val="001029AF"/>
    <w:rsid w:val="00120A49"/>
    <w:rsid w:val="001276F6"/>
    <w:rsid w:val="00137E82"/>
    <w:rsid w:val="001736AD"/>
    <w:rsid w:val="00176F49"/>
    <w:rsid w:val="0019351E"/>
    <w:rsid w:val="001D48CD"/>
    <w:rsid w:val="001E25DC"/>
    <w:rsid w:val="001F4E4C"/>
    <w:rsid w:val="00201644"/>
    <w:rsid w:val="00212572"/>
    <w:rsid w:val="00217563"/>
    <w:rsid w:val="00233E7E"/>
    <w:rsid w:val="002538F5"/>
    <w:rsid w:val="00255469"/>
    <w:rsid w:val="002564B3"/>
    <w:rsid w:val="00274205"/>
    <w:rsid w:val="002C54AB"/>
    <w:rsid w:val="002C79A8"/>
    <w:rsid w:val="00337148"/>
    <w:rsid w:val="003B3CA2"/>
    <w:rsid w:val="003E24D8"/>
    <w:rsid w:val="003F4783"/>
    <w:rsid w:val="004131DB"/>
    <w:rsid w:val="00413540"/>
    <w:rsid w:val="0042725E"/>
    <w:rsid w:val="004406ED"/>
    <w:rsid w:val="004473D1"/>
    <w:rsid w:val="00456159"/>
    <w:rsid w:val="00482E49"/>
    <w:rsid w:val="004930D7"/>
    <w:rsid w:val="00496CF7"/>
    <w:rsid w:val="00497330"/>
    <w:rsid w:val="004B4BB7"/>
    <w:rsid w:val="004C5BF8"/>
    <w:rsid w:val="004D3D8E"/>
    <w:rsid w:val="004E4E6A"/>
    <w:rsid w:val="004E6B69"/>
    <w:rsid w:val="004F503F"/>
    <w:rsid w:val="00542638"/>
    <w:rsid w:val="00570E62"/>
    <w:rsid w:val="005A760D"/>
    <w:rsid w:val="005C4929"/>
    <w:rsid w:val="005E0F56"/>
    <w:rsid w:val="005E71C0"/>
    <w:rsid w:val="00612571"/>
    <w:rsid w:val="00617299"/>
    <w:rsid w:val="00625F28"/>
    <w:rsid w:val="00651C7B"/>
    <w:rsid w:val="006557A9"/>
    <w:rsid w:val="00674AC5"/>
    <w:rsid w:val="006D11DE"/>
    <w:rsid w:val="006F7945"/>
    <w:rsid w:val="0072593D"/>
    <w:rsid w:val="00735554"/>
    <w:rsid w:val="007806FD"/>
    <w:rsid w:val="007A3546"/>
    <w:rsid w:val="007E2060"/>
    <w:rsid w:val="007E68BF"/>
    <w:rsid w:val="007E78DD"/>
    <w:rsid w:val="007E7EA8"/>
    <w:rsid w:val="008143A7"/>
    <w:rsid w:val="00817164"/>
    <w:rsid w:val="00817FEB"/>
    <w:rsid w:val="00847E6C"/>
    <w:rsid w:val="008533E0"/>
    <w:rsid w:val="00865A9B"/>
    <w:rsid w:val="0087555D"/>
    <w:rsid w:val="00875800"/>
    <w:rsid w:val="00876C09"/>
    <w:rsid w:val="00890FB5"/>
    <w:rsid w:val="00893E62"/>
    <w:rsid w:val="00893E73"/>
    <w:rsid w:val="00896B83"/>
    <w:rsid w:val="008A5828"/>
    <w:rsid w:val="008A6F26"/>
    <w:rsid w:val="008B05AB"/>
    <w:rsid w:val="008D7982"/>
    <w:rsid w:val="008E7810"/>
    <w:rsid w:val="00901A69"/>
    <w:rsid w:val="00907F15"/>
    <w:rsid w:val="009120F0"/>
    <w:rsid w:val="009300DB"/>
    <w:rsid w:val="00933C72"/>
    <w:rsid w:val="00944648"/>
    <w:rsid w:val="009457EC"/>
    <w:rsid w:val="00960600"/>
    <w:rsid w:val="00960CAB"/>
    <w:rsid w:val="00967B40"/>
    <w:rsid w:val="00990ED1"/>
    <w:rsid w:val="0099643F"/>
    <w:rsid w:val="009A3F8F"/>
    <w:rsid w:val="009A4030"/>
    <w:rsid w:val="009C324C"/>
    <w:rsid w:val="009D3E40"/>
    <w:rsid w:val="009E23DD"/>
    <w:rsid w:val="00A059D1"/>
    <w:rsid w:val="00A23459"/>
    <w:rsid w:val="00A3531E"/>
    <w:rsid w:val="00A63001"/>
    <w:rsid w:val="00A85CB8"/>
    <w:rsid w:val="00AA38A6"/>
    <w:rsid w:val="00AA3AC2"/>
    <w:rsid w:val="00AE3E49"/>
    <w:rsid w:val="00AF70F6"/>
    <w:rsid w:val="00B01BB1"/>
    <w:rsid w:val="00B0333E"/>
    <w:rsid w:val="00B058D8"/>
    <w:rsid w:val="00B16E15"/>
    <w:rsid w:val="00B43F02"/>
    <w:rsid w:val="00B44E57"/>
    <w:rsid w:val="00B62DB9"/>
    <w:rsid w:val="00BE65D3"/>
    <w:rsid w:val="00BF3756"/>
    <w:rsid w:val="00BF7C00"/>
    <w:rsid w:val="00C06272"/>
    <w:rsid w:val="00C23C0A"/>
    <w:rsid w:val="00C458E9"/>
    <w:rsid w:val="00C55C16"/>
    <w:rsid w:val="00C563AA"/>
    <w:rsid w:val="00C73051"/>
    <w:rsid w:val="00C83094"/>
    <w:rsid w:val="00C8570D"/>
    <w:rsid w:val="00CA27F0"/>
    <w:rsid w:val="00CC082C"/>
    <w:rsid w:val="00CF3C1B"/>
    <w:rsid w:val="00D02988"/>
    <w:rsid w:val="00D433EE"/>
    <w:rsid w:val="00D7103E"/>
    <w:rsid w:val="00D966E5"/>
    <w:rsid w:val="00DA7C0A"/>
    <w:rsid w:val="00DD6833"/>
    <w:rsid w:val="00DF3C73"/>
    <w:rsid w:val="00E347C7"/>
    <w:rsid w:val="00E6759C"/>
    <w:rsid w:val="00E9011C"/>
    <w:rsid w:val="00EC4CB3"/>
    <w:rsid w:val="00EE0C71"/>
    <w:rsid w:val="00F3152D"/>
    <w:rsid w:val="00F472D6"/>
    <w:rsid w:val="00F82243"/>
    <w:rsid w:val="00F8301A"/>
    <w:rsid w:val="00F90E86"/>
    <w:rsid w:val="00F927D7"/>
    <w:rsid w:val="00F93D36"/>
    <w:rsid w:val="00FC5E95"/>
    <w:rsid w:val="00FE790A"/>
    <w:rsid w:val="00FF549C"/>
  </w:rsids>
  <m:mathPr>
    <m:mathFont m:val="Cambria Math"/>
    <m:brkBin m:val="before"/>
    <m:brkBinSub m:val="--"/>
    <m:smallFrac m:val="0"/>
    <m:dispDef/>
    <m:lMargin m:val="0"/>
    <m:rMargin m:val="0"/>
    <m:defJc m:val="centerGroup"/>
    <m:wrapIndent m:val="1440"/>
    <m:intLim m:val="subSup"/>
    <m:naryLim m:val="undOvr"/>
  </m:mathPr>
  <w:themeFontLang w:val="id-ID"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B1EE1"/>
  <w15:docId w15:val="{A0B706C8-C984-47E3-B608-1DB931259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6679A"/>
    <w:pPr>
      <w:spacing w:after="120"/>
      <w:jc w:val="both"/>
    </w:pPr>
    <w:rPr>
      <w:sz w:val="22"/>
      <w:szCs w:val="24"/>
      <w:lang w:val="en-GB" w:eastAsia="de-DE"/>
    </w:rPr>
  </w:style>
  <w:style w:type="paragraph" w:styleId="Heading1">
    <w:name w:val="heading 1"/>
    <w:next w:val="Normal"/>
    <w:qFormat/>
    <w:rsid w:val="0096679A"/>
    <w:pPr>
      <w:keepNext/>
      <w:numPr>
        <w:numId w:val="1"/>
      </w:numPr>
      <w:spacing w:before="300" w:after="100" w:line="280" w:lineRule="atLeast"/>
      <w:ind w:left="431" w:right="-28" w:hanging="431"/>
      <w:outlineLvl w:val="0"/>
    </w:pPr>
    <w:rPr>
      <w:b/>
      <w:bCs/>
      <w:caps/>
      <w:sz w:val="22"/>
      <w:szCs w:val="24"/>
      <w:lang w:val="en-GB" w:eastAsia="de-DE"/>
    </w:rPr>
  </w:style>
  <w:style w:type="paragraph" w:styleId="Heading2">
    <w:name w:val="heading 2"/>
    <w:next w:val="Normal"/>
    <w:qFormat/>
    <w:rsid w:val="0096679A"/>
    <w:pPr>
      <w:keepNext/>
      <w:numPr>
        <w:ilvl w:val="1"/>
        <w:numId w:val="1"/>
      </w:numPr>
      <w:spacing w:before="100" w:after="100" w:line="280" w:lineRule="atLeast"/>
      <w:outlineLvl w:val="1"/>
    </w:pPr>
    <w:rPr>
      <w:b/>
      <w:bCs/>
      <w:sz w:val="22"/>
      <w:szCs w:val="24"/>
      <w:lang w:val="en-GB" w:eastAsia="de-DE"/>
    </w:rPr>
  </w:style>
  <w:style w:type="paragraph" w:styleId="Heading3">
    <w:name w:val="heading 3"/>
    <w:next w:val="Normal"/>
    <w:qFormat/>
    <w:rsid w:val="0096679A"/>
    <w:pPr>
      <w:numPr>
        <w:ilvl w:val="2"/>
        <w:numId w:val="1"/>
      </w:numPr>
      <w:outlineLvl w:val="2"/>
    </w:pPr>
    <w:rPr>
      <w:b/>
      <w:bCs/>
      <w:i/>
      <w:iCs/>
      <w:sz w:val="22"/>
      <w:szCs w:val="24"/>
      <w:lang w:val="en-GB" w:eastAsia="de-DE"/>
    </w:rPr>
  </w:style>
  <w:style w:type="paragraph" w:styleId="Heading4">
    <w:name w:val="heading 4"/>
    <w:basedOn w:val="Normal"/>
    <w:next w:val="Normal"/>
    <w:qFormat/>
    <w:rsid w:val="0096679A"/>
    <w:pPr>
      <w:keepNext/>
      <w:numPr>
        <w:ilvl w:val="3"/>
        <w:numId w:val="1"/>
      </w:numPr>
      <w:spacing w:before="240" w:after="60"/>
      <w:outlineLvl w:val="3"/>
    </w:pPr>
    <w:rPr>
      <w:i/>
      <w:iCs/>
      <w:szCs w:val="28"/>
    </w:rPr>
  </w:style>
  <w:style w:type="paragraph" w:styleId="Heading5">
    <w:name w:val="heading 5"/>
    <w:basedOn w:val="Normal"/>
    <w:next w:val="Normal"/>
    <w:qFormat/>
    <w:rsid w:val="0096679A"/>
    <w:pPr>
      <w:numPr>
        <w:ilvl w:val="4"/>
        <w:numId w:val="1"/>
      </w:numPr>
      <w:spacing w:before="240" w:after="60"/>
      <w:outlineLvl w:val="4"/>
    </w:pPr>
    <w:rPr>
      <w:b/>
      <w:bCs/>
      <w:i/>
      <w:iCs/>
      <w:sz w:val="26"/>
      <w:szCs w:val="26"/>
    </w:rPr>
  </w:style>
  <w:style w:type="paragraph" w:styleId="Heading6">
    <w:name w:val="heading 6"/>
    <w:basedOn w:val="Normal"/>
    <w:next w:val="Normal"/>
    <w:qFormat/>
    <w:rsid w:val="0096679A"/>
    <w:pPr>
      <w:numPr>
        <w:ilvl w:val="5"/>
        <w:numId w:val="1"/>
      </w:numPr>
      <w:spacing w:before="240" w:after="60"/>
      <w:outlineLvl w:val="5"/>
    </w:pPr>
    <w:rPr>
      <w:b/>
      <w:bCs/>
      <w:szCs w:val="22"/>
    </w:rPr>
  </w:style>
  <w:style w:type="paragraph" w:styleId="Heading7">
    <w:name w:val="heading 7"/>
    <w:basedOn w:val="Normal"/>
    <w:next w:val="Normal"/>
    <w:qFormat/>
    <w:rsid w:val="0096679A"/>
    <w:pPr>
      <w:numPr>
        <w:ilvl w:val="6"/>
        <w:numId w:val="1"/>
      </w:numPr>
      <w:spacing w:before="240" w:after="60"/>
      <w:outlineLvl w:val="6"/>
    </w:pPr>
    <w:rPr>
      <w:sz w:val="24"/>
    </w:rPr>
  </w:style>
  <w:style w:type="paragraph" w:styleId="Heading8">
    <w:name w:val="heading 8"/>
    <w:basedOn w:val="Normal"/>
    <w:next w:val="Normal"/>
    <w:qFormat/>
    <w:rsid w:val="0096679A"/>
    <w:pPr>
      <w:keepNext/>
      <w:numPr>
        <w:ilvl w:val="7"/>
        <w:numId w:val="1"/>
      </w:numPr>
      <w:spacing w:line="240" w:lineRule="atLeast"/>
      <w:jc w:val="center"/>
      <w:outlineLvl w:val="7"/>
    </w:pPr>
    <w:rPr>
      <w:b/>
      <w:bCs/>
      <w:sz w:val="20"/>
      <w:szCs w:val="20"/>
    </w:rPr>
  </w:style>
  <w:style w:type="paragraph" w:styleId="Heading9">
    <w:name w:val="heading 9"/>
    <w:basedOn w:val="Normal"/>
    <w:next w:val="Normal"/>
    <w:qFormat/>
    <w:rsid w:val="0096679A"/>
    <w:pPr>
      <w:numPr>
        <w:ilvl w:val="8"/>
        <w:numId w:val="1"/>
      </w:numPr>
      <w:spacing w:before="240" w:after="60"/>
      <w:outlineLvl w:val="8"/>
    </w:pPr>
    <w:rPr>
      <w:rFonts w:ascii="Arial" w:hAnsi="Arial"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D5860"/>
    <w:rPr>
      <w:color w:val="0000FF"/>
      <w:u w:val="single"/>
    </w:rPr>
  </w:style>
  <w:style w:type="character" w:customStyle="1" w:styleId="DocumentMapChar">
    <w:name w:val="Document Map Char"/>
    <w:basedOn w:val="DefaultParagraphFont"/>
    <w:link w:val="DocumentMap"/>
    <w:qFormat/>
    <w:rsid w:val="00C91230"/>
    <w:rPr>
      <w:rFonts w:ascii="Tahoma" w:hAnsi="Tahoma" w:cs="Tahoma"/>
      <w:shd w:val="clear" w:color="auto" w:fill="000080"/>
    </w:rPr>
  </w:style>
  <w:style w:type="character" w:customStyle="1" w:styleId="apple-style-span">
    <w:name w:val="apple-style-span"/>
    <w:basedOn w:val="DefaultParagraphFont"/>
    <w:qFormat/>
    <w:rsid w:val="00C91230"/>
  </w:style>
  <w:style w:type="character" w:customStyle="1" w:styleId="apple-converted-space">
    <w:name w:val="apple-converted-space"/>
    <w:basedOn w:val="DefaultParagraphFont"/>
    <w:qFormat/>
    <w:rsid w:val="00C91230"/>
  </w:style>
  <w:style w:type="character" w:styleId="Strong">
    <w:name w:val="Strong"/>
    <w:basedOn w:val="DefaultParagraphFont"/>
    <w:qFormat/>
    <w:rsid w:val="00C91230"/>
    <w:rPr>
      <w:b/>
      <w:bCs/>
    </w:rPr>
  </w:style>
  <w:style w:type="character" w:customStyle="1" w:styleId="HeaderChar">
    <w:name w:val="Header Char"/>
    <w:basedOn w:val="DefaultParagraphFont"/>
    <w:link w:val="Header"/>
    <w:uiPriority w:val="99"/>
    <w:qFormat/>
    <w:rsid w:val="00111349"/>
    <w:rPr>
      <w:sz w:val="22"/>
      <w:szCs w:val="24"/>
      <w:lang w:val="en-GB" w:eastAsia="de-DE"/>
    </w:rPr>
  </w:style>
  <w:style w:type="character" w:customStyle="1" w:styleId="FooterChar">
    <w:name w:val="Footer Char"/>
    <w:basedOn w:val="DefaultParagraphFont"/>
    <w:link w:val="Footer"/>
    <w:uiPriority w:val="99"/>
    <w:qFormat/>
    <w:rsid w:val="00111349"/>
    <w:rPr>
      <w:sz w:val="22"/>
      <w:szCs w:val="24"/>
      <w:lang w:val="en-GB" w:eastAsia="de-DE"/>
    </w:rPr>
  </w:style>
  <w:style w:type="character" w:customStyle="1" w:styleId="BalloonTextChar">
    <w:name w:val="Balloon Text Char"/>
    <w:basedOn w:val="DefaultParagraphFont"/>
    <w:link w:val="BalloonText"/>
    <w:uiPriority w:val="99"/>
    <w:qFormat/>
    <w:rsid w:val="00111349"/>
    <w:rPr>
      <w:rFonts w:ascii="Tahoma" w:hAnsi="Tahoma" w:cs="Tahoma"/>
      <w:sz w:val="16"/>
      <w:szCs w:val="16"/>
      <w:lang w:val="en-GB" w:eastAsia="de-DE"/>
    </w:rPr>
  </w:style>
  <w:style w:type="character" w:customStyle="1" w:styleId="p1">
    <w:name w:val="p1"/>
    <w:basedOn w:val="DefaultParagraphFont"/>
    <w:qFormat/>
    <w:rsid w:val="00DF2748"/>
  </w:style>
  <w:style w:type="character" w:styleId="Emphasis">
    <w:name w:val="Emphasis"/>
    <w:basedOn w:val="DefaultParagraphFont"/>
    <w:uiPriority w:val="20"/>
    <w:qFormat/>
    <w:rsid w:val="00DF2748"/>
    <w:rPr>
      <w:i/>
      <w:iCs/>
    </w:rPr>
  </w:style>
  <w:style w:type="character" w:customStyle="1" w:styleId="BodyTextChar">
    <w:name w:val="Body Text Char"/>
    <w:basedOn w:val="DefaultParagraphFont"/>
    <w:link w:val="BodyText"/>
    <w:qFormat/>
    <w:rsid w:val="00D766CB"/>
    <w:rPr>
      <w:i/>
      <w:iCs/>
      <w:sz w:val="22"/>
      <w:szCs w:val="24"/>
    </w:rPr>
  </w:style>
  <w:style w:type="character" w:customStyle="1" w:styleId="FootnoteTextChar">
    <w:name w:val="Footnote Text Char"/>
    <w:basedOn w:val="DefaultParagraphFont"/>
    <w:link w:val="FootnoteText"/>
    <w:uiPriority w:val="99"/>
    <w:qFormat/>
    <w:rsid w:val="005C2BE3"/>
    <w:rPr>
      <w:lang w:val="en-GB" w:eastAsia="de-DE"/>
    </w:rPr>
  </w:style>
  <w:style w:type="character" w:customStyle="1" w:styleId="FootnoteCharacters">
    <w:name w:val="Footnote Characters"/>
    <w:basedOn w:val="DefaultParagraphFont"/>
    <w:qFormat/>
    <w:rsid w:val="005C2BE3"/>
    <w:rPr>
      <w:vertAlign w:val="superscript"/>
    </w:rPr>
  </w:style>
  <w:style w:type="character" w:customStyle="1" w:styleId="FootnoteAnchor">
    <w:name w:val="Footnote Anchor"/>
    <w:rPr>
      <w:vertAlign w:val="superscript"/>
    </w:rPr>
  </w:style>
  <w:style w:type="character" w:styleId="PageNumber">
    <w:name w:val="page number"/>
    <w:basedOn w:val="DefaultParagraphFont"/>
    <w:qFormat/>
    <w:rsid w:val="000E3323"/>
  </w:style>
  <w:style w:type="character" w:customStyle="1" w:styleId="WW8Num4z3">
    <w:name w:val="WW8Num4z3"/>
    <w:qFormat/>
    <w:rsid w:val="002A73A1"/>
    <w:rPr>
      <w:rFonts w:ascii="Symbol" w:hAnsi="Symbol"/>
    </w:rPr>
  </w:style>
  <w:style w:type="character" w:customStyle="1" w:styleId="EndnoteTextChar">
    <w:name w:val="Endnote Text Char"/>
    <w:basedOn w:val="DefaultParagraphFont"/>
    <w:link w:val="EndnoteText"/>
    <w:qFormat/>
    <w:rsid w:val="00830B8F"/>
    <w:rPr>
      <w:lang w:val="en-GB" w:eastAsia="de-DE"/>
    </w:rPr>
  </w:style>
  <w:style w:type="character" w:customStyle="1" w:styleId="EndnoteCharacters">
    <w:name w:val="Endnote Characters"/>
    <w:basedOn w:val="DefaultParagraphFont"/>
    <w:qFormat/>
    <w:rsid w:val="00830B8F"/>
    <w:rPr>
      <w:vertAlign w:val="superscript"/>
    </w:rPr>
  </w:style>
  <w:style w:type="character" w:customStyle="1" w:styleId="EndnoteAnchor">
    <w:name w:val="Endnote Anchor"/>
    <w:rPr>
      <w:vertAlign w:val="superscript"/>
    </w:rPr>
  </w:style>
  <w:style w:type="character" w:customStyle="1" w:styleId="CaptionChar">
    <w:name w:val="Caption Char"/>
    <w:basedOn w:val="DefaultParagraphFont"/>
    <w:link w:val="Caption"/>
    <w:uiPriority w:val="35"/>
    <w:qFormat/>
    <w:rsid w:val="002456E6"/>
    <w:rPr>
      <w:rFonts w:ascii="Calibri" w:eastAsia="Calibri" w:hAnsi="Calibri"/>
      <w:b/>
      <w:bCs/>
    </w:rPr>
  </w:style>
  <w:style w:type="character" w:customStyle="1" w:styleId="FormatUIChar">
    <w:name w:val="Format UI Char"/>
    <w:basedOn w:val="DefaultParagraphFont"/>
    <w:link w:val="FormatUI"/>
    <w:qFormat/>
    <w:rsid w:val="004B60F1"/>
    <w:rPr>
      <w:rFonts w:eastAsia="Times New Roman"/>
      <w:sz w:val="24"/>
      <w:szCs w:val="22"/>
      <w:lang w:val="id-ID" w:eastAsia="id-ID"/>
    </w:rPr>
  </w:style>
  <w:style w:type="character" w:customStyle="1" w:styleId="HTMLPreformattedChar">
    <w:name w:val="HTML Preformatted Char"/>
    <w:basedOn w:val="DefaultParagraphFont"/>
    <w:link w:val="HTMLPreformatted"/>
    <w:qFormat/>
    <w:rsid w:val="0055374E"/>
    <w:rPr>
      <w:rFonts w:ascii="GulimChe" w:eastAsia="GulimChe" w:hAnsi="GulimChe" w:cs="GulimChe"/>
      <w:sz w:val="24"/>
      <w:szCs w:val="24"/>
      <w:lang w:eastAsia="ko-KR"/>
    </w:rPr>
  </w:style>
  <w:style w:type="character" w:styleId="PlaceholderText">
    <w:name w:val="Placeholder Text"/>
    <w:basedOn w:val="DefaultParagraphFont"/>
    <w:uiPriority w:val="99"/>
    <w:semiHidden/>
    <w:qFormat/>
    <w:rsid w:val="0055374E"/>
    <w:rPr>
      <w:color w:val="808080"/>
    </w:rPr>
  </w:style>
  <w:style w:type="character" w:customStyle="1" w:styleId="hps">
    <w:name w:val="hps"/>
    <w:basedOn w:val="DefaultParagraphFont"/>
    <w:qFormat/>
    <w:rsid w:val="00CA5DA0"/>
  </w:style>
  <w:style w:type="character" w:customStyle="1" w:styleId="JournalmaintextChar">
    <w:name w:val="Journal maintext Char"/>
    <w:link w:val="Journalmaintext"/>
    <w:qFormat/>
    <w:rsid w:val="009A596D"/>
    <w:rPr>
      <w:rFonts w:eastAsia="SimSun"/>
      <w:sz w:val="24"/>
      <w:szCs w:val="24"/>
      <w:lang w:eastAsia="zh-CN"/>
    </w:rPr>
  </w:style>
  <w:style w:type="character" w:customStyle="1" w:styleId="ContentChar">
    <w:name w:val="Content Char"/>
    <w:link w:val="Content"/>
    <w:qFormat/>
    <w:rsid w:val="00CB4395"/>
    <w:rPr>
      <w:rFonts w:eastAsia="Calibri"/>
      <w:sz w:val="24"/>
      <w:szCs w:val="18"/>
      <w:lang w:val="en-MY"/>
    </w:rPr>
  </w:style>
  <w:style w:type="character" w:customStyle="1" w:styleId="BodyText2Char">
    <w:name w:val="Body Text 2 Char"/>
    <w:basedOn w:val="DefaultParagraphFont"/>
    <w:link w:val="BodyText2"/>
    <w:qFormat/>
    <w:rsid w:val="00E95F33"/>
    <w:rPr>
      <w:rFonts w:eastAsia="Times New Roman"/>
      <w:sz w:val="24"/>
      <w:szCs w:val="24"/>
      <w:lang w:val="id-ID"/>
    </w:rPr>
  </w:style>
  <w:style w:type="character" w:customStyle="1" w:styleId="shorttext">
    <w:name w:val="short_text"/>
    <w:basedOn w:val="DefaultParagraphFont"/>
    <w:qFormat/>
    <w:rsid w:val="00E95F33"/>
  </w:style>
  <w:style w:type="character" w:customStyle="1" w:styleId="yiv3264496809">
    <w:name w:val="yiv3264496809"/>
    <w:basedOn w:val="DefaultParagraphFont"/>
    <w:qFormat/>
    <w:rsid w:val="00077687"/>
  </w:style>
  <w:style w:type="character" w:customStyle="1" w:styleId="TextChar">
    <w:name w:val="Text Char"/>
    <w:basedOn w:val="DefaultParagraphFont"/>
    <w:link w:val="Text"/>
    <w:qFormat/>
    <w:rsid w:val="004D4074"/>
    <w:rPr>
      <w:rFonts w:eastAsia="PMingLiU"/>
    </w:rPr>
  </w:style>
  <w:style w:type="character" w:styleId="SubtleEmphasis">
    <w:name w:val="Subtle Emphasis"/>
    <w:basedOn w:val="DefaultParagraphFont"/>
    <w:uiPriority w:val="19"/>
    <w:qFormat/>
    <w:rsid w:val="004D4074"/>
    <w:rPr>
      <w:rFonts w:eastAsiaTheme="minorEastAsia" w:cstheme="minorBidi"/>
      <w:bCs w:val="0"/>
      <w:i/>
      <w:iCs/>
      <w:color w:val="808080" w:themeColor="text1" w:themeTint="7F"/>
      <w:szCs w:val="22"/>
      <w:lang w:val="en-US"/>
    </w:rPr>
  </w:style>
  <w:style w:type="character" w:customStyle="1" w:styleId="atn">
    <w:name w:val="atn"/>
    <w:basedOn w:val="DefaultParagraphFont"/>
    <w:qFormat/>
    <w:rsid w:val="00B82021"/>
  </w:style>
  <w:style w:type="character" w:customStyle="1" w:styleId="Para0PTafter2LinesChar">
    <w:name w:val="Para0PTafter2Lines Char"/>
    <w:basedOn w:val="DefaultParagraphFont"/>
    <w:link w:val="Para0PTafter2Lines"/>
    <w:qFormat/>
    <w:locked/>
    <w:rsid w:val="00244A33"/>
    <w:rPr>
      <w:sz w:val="28"/>
      <w:szCs w:val="28"/>
    </w:rPr>
  </w:style>
  <w:style w:type="character" w:customStyle="1" w:styleId="Normal9ptjustifiedChar">
    <w:name w:val="Normal+9 pt+justified Char"/>
    <w:basedOn w:val="Para0PTafter2LinesChar"/>
    <w:link w:val="Normal9ptjustified"/>
    <w:qFormat/>
    <w:locked/>
    <w:rsid w:val="00244A33"/>
    <w:rPr>
      <w:sz w:val="28"/>
      <w:szCs w:val="28"/>
    </w:rPr>
  </w:style>
  <w:style w:type="character" w:styleId="FollowedHyperlink">
    <w:name w:val="FollowedHyperlink"/>
    <w:basedOn w:val="DefaultParagraphFont"/>
    <w:semiHidden/>
    <w:unhideWhenUsed/>
    <w:rsid w:val="00024FF6"/>
    <w:rPr>
      <w:color w:val="800080" w:themeColor="followedHyperlink"/>
      <w:u w:val="single"/>
    </w:rPr>
  </w:style>
  <w:style w:type="character" w:styleId="CommentReference">
    <w:name w:val="annotation reference"/>
    <w:uiPriority w:val="99"/>
    <w:qFormat/>
    <w:rsid w:val="007970B8"/>
    <w:rPr>
      <w:sz w:val="18"/>
      <w:szCs w:val="18"/>
    </w:rPr>
  </w:style>
  <w:style w:type="character" w:customStyle="1" w:styleId="CommentTextChar">
    <w:name w:val="Comment Text Char"/>
    <w:basedOn w:val="DefaultParagraphFont"/>
    <w:link w:val="CommentText"/>
    <w:uiPriority w:val="99"/>
    <w:qFormat/>
    <w:rsid w:val="007970B8"/>
    <w:rPr>
      <w:rFonts w:eastAsia="Times New Roman"/>
      <w:sz w:val="24"/>
      <w:szCs w:val="24"/>
    </w:rPr>
  </w:style>
  <w:style w:type="character" w:customStyle="1" w:styleId="ColorfulList-Accent1Char">
    <w:name w:val="Colorful List - Accent 1 Char"/>
    <w:uiPriority w:val="34"/>
    <w:qFormat/>
    <w:rsid w:val="006158C4"/>
    <w:rPr>
      <w:rFonts w:eastAsia="Times New Roman"/>
      <w:sz w:val="22"/>
      <w:szCs w:val="22"/>
      <w:lang w:val="id-ID"/>
    </w:rPr>
  </w:style>
  <w:style w:type="character" w:customStyle="1" w:styleId="BodyCharChar">
    <w:name w:val="Body Char Char"/>
    <w:link w:val="BodyChar"/>
    <w:qFormat/>
    <w:rsid w:val="006158C4"/>
    <w:rPr>
      <w:rFonts w:ascii="Times" w:eastAsia="Times New Roman" w:hAnsi="Times"/>
      <w:color w:val="000000"/>
      <w:sz w:val="22"/>
      <w:szCs w:val="22"/>
      <w:lang w:val="en-GB"/>
    </w:rPr>
  </w:style>
  <w:style w:type="character" w:customStyle="1" w:styleId="CommentSubjectChar">
    <w:name w:val="Comment Subject Char"/>
    <w:basedOn w:val="CommentTextChar"/>
    <w:link w:val="CommentSubject"/>
    <w:semiHidden/>
    <w:qFormat/>
    <w:rsid w:val="00E43E07"/>
    <w:rPr>
      <w:rFonts w:eastAsia="Times New Roman"/>
      <w:b/>
      <w:bCs/>
      <w:sz w:val="24"/>
      <w:szCs w:val="24"/>
      <w:lang w:val="en-GB" w:eastAsia="de-DE"/>
    </w:rPr>
  </w:style>
  <w:style w:type="character" w:customStyle="1" w:styleId="TEXTsChar">
    <w:name w:val="TEXTs Char"/>
    <w:basedOn w:val="BodyTextChar"/>
    <w:link w:val="TEXTs"/>
    <w:qFormat/>
    <w:rsid w:val="00292860"/>
    <w:rPr>
      <w:rFonts w:eastAsia="SimSun"/>
      <w:i w:val="0"/>
      <w:iCs w:val="0"/>
      <w:spacing w:val="-1"/>
      <w:sz w:val="22"/>
      <w:szCs w:val="24"/>
    </w:rPr>
  </w:style>
  <w:style w:type="character" w:customStyle="1" w:styleId="TitleChar">
    <w:name w:val="Title Char"/>
    <w:basedOn w:val="DefaultParagraphFont"/>
    <w:link w:val="Title"/>
    <w:qFormat/>
    <w:rsid w:val="00292860"/>
    <w:rPr>
      <w:sz w:val="40"/>
      <w:szCs w:val="40"/>
    </w:rPr>
  </w:style>
  <w:style w:type="character" w:customStyle="1" w:styleId="FigurescaptionChar">
    <w:name w:val="Figures caption Char"/>
    <w:basedOn w:val="DefaultParagraphFont"/>
    <w:link w:val="Figurescaption"/>
    <w:qFormat/>
    <w:rsid w:val="00292860"/>
    <w:rPr>
      <w:rFonts w:eastAsia="SimSun"/>
      <w:sz w:val="16"/>
      <w:szCs w:val="16"/>
      <w:lang w:eastAsia="ja-JP"/>
    </w:rPr>
  </w:style>
  <w:style w:type="character" w:customStyle="1" w:styleId="EndNoteBibliographyChar">
    <w:name w:val="EndNote Bibliography Char"/>
    <w:basedOn w:val="DefaultParagraphFont"/>
    <w:link w:val="EndNoteBibliography"/>
    <w:qFormat/>
    <w:rsid w:val="0093451D"/>
    <w:rPr>
      <w:sz w:val="22"/>
      <w:szCs w:val="24"/>
      <w:lang w:val="de-DE" w:eastAsia="de-DE"/>
    </w:rPr>
  </w:style>
  <w:style w:type="character" w:customStyle="1" w:styleId="a">
    <w:name w:val="コメント文字列 (文字)"/>
    <w:uiPriority w:val="99"/>
    <w:qFormat/>
    <w:rsid w:val="00804447"/>
    <w:rPr>
      <w:rFonts w:ascii="Calibri" w:eastAsia="Times New Roman" w:hAnsi="Calibri"/>
      <w:lang w:eastAsia="id-ID"/>
    </w:rPr>
  </w:style>
  <w:style w:type="character" w:customStyle="1" w:styleId="a0">
    <w:name w:val="本文 (文字)"/>
    <w:qFormat/>
    <w:rsid w:val="00804447"/>
    <w:rPr>
      <w:i/>
      <w:iCs/>
      <w:sz w:val="22"/>
      <w:szCs w:val="24"/>
    </w:rPr>
  </w:style>
  <w:style w:type="character" w:customStyle="1" w:styleId="TAMainTextChar">
    <w:name w:val="TA_Main_Text Char"/>
    <w:link w:val="TAMainText"/>
    <w:qFormat/>
    <w:rsid w:val="00804447"/>
    <w:rPr>
      <w:rFonts w:ascii="Times" w:hAnsi="Times"/>
      <w:sz w:val="18"/>
    </w:rPr>
  </w:style>
  <w:style w:type="character" w:customStyle="1" w:styleId="tgc">
    <w:name w:val="_tgc"/>
    <w:qFormat/>
    <w:rsid w:val="00110E1B"/>
  </w:style>
  <w:style w:type="character" w:customStyle="1" w:styleId="StrongEmphasis">
    <w:name w:val="Strong Emphasis"/>
    <w:qFormat/>
    <w:rPr>
      <w:b/>
      <w:bCs/>
    </w:rPr>
  </w:style>
  <w:style w:type="paragraph" w:customStyle="1" w:styleId="Heading">
    <w:name w:val="Heading"/>
    <w:basedOn w:val="Normal"/>
    <w:next w:val="BodyText"/>
    <w:qFormat/>
    <w:pPr>
      <w:keepNext/>
      <w:spacing w:before="240"/>
    </w:pPr>
    <w:rPr>
      <w:rFonts w:ascii="Liberation Sans" w:eastAsia="Noto Sans" w:hAnsi="Liberation Sans" w:cs="FreeSans"/>
      <w:sz w:val="28"/>
      <w:szCs w:val="28"/>
    </w:rPr>
  </w:style>
  <w:style w:type="paragraph" w:styleId="BodyText">
    <w:name w:val="Body Text"/>
    <w:basedOn w:val="Normal"/>
    <w:link w:val="BodyTextChar"/>
    <w:rsid w:val="00D766CB"/>
    <w:pPr>
      <w:spacing w:after="0"/>
    </w:pPr>
    <w:rPr>
      <w:i/>
      <w:iCs/>
      <w:lang w:val="en-US" w:eastAsia="en-US"/>
    </w:rPr>
  </w:style>
  <w:style w:type="paragraph" w:styleId="List">
    <w:name w:val="List"/>
    <w:basedOn w:val="BodyText"/>
    <w:rPr>
      <w:rFonts w:cs="FreeSans"/>
    </w:rPr>
  </w:style>
  <w:style w:type="paragraph" w:styleId="Caption">
    <w:name w:val="caption"/>
    <w:basedOn w:val="Normal"/>
    <w:next w:val="Normal"/>
    <w:link w:val="CaptionChar"/>
    <w:uiPriority w:val="35"/>
    <w:unhideWhenUsed/>
    <w:qFormat/>
    <w:rsid w:val="002456E6"/>
    <w:pPr>
      <w:spacing w:after="200" w:line="276" w:lineRule="auto"/>
      <w:jc w:val="left"/>
    </w:pPr>
    <w:rPr>
      <w:rFonts w:ascii="Calibri" w:eastAsia="Calibri" w:hAnsi="Calibri"/>
      <w:b/>
      <w:bCs/>
      <w:sz w:val="20"/>
      <w:szCs w:val="20"/>
      <w:lang w:val="en-US" w:eastAsia="en-US"/>
    </w:rPr>
  </w:style>
  <w:style w:type="paragraph" w:customStyle="1" w:styleId="Index">
    <w:name w:val="Index"/>
    <w:basedOn w:val="Normal"/>
    <w:qFormat/>
    <w:pPr>
      <w:suppressLineNumbers/>
    </w:pPr>
    <w:rPr>
      <w:rFonts w:cs="FreeSans"/>
    </w:rPr>
  </w:style>
  <w:style w:type="paragraph" w:customStyle="1" w:styleId="TitleDERJournal">
    <w:name w:val="Title DER Journal"/>
    <w:qFormat/>
    <w:rsid w:val="0096679A"/>
    <w:pPr>
      <w:spacing w:before="1600" w:line="280" w:lineRule="atLeast"/>
      <w:jc w:val="center"/>
    </w:pPr>
    <w:rPr>
      <w:b/>
      <w:caps/>
      <w:sz w:val="28"/>
      <w:szCs w:val="24"/>
      <w:lang w:val="en-GB" w:eastAsia="de-DE"/>
    </w:rPr>
  </w:style>
  <w:style w:type="paragraph" w:customStyle="1" w:styleId="AutorsDERJournal">
    <w:name w:val="Autors DER Journal"/>
    <w:qFormat/>
    <w:rsid w:val="0096679A"/>
    <w:pPr>
      <w:spacing w:before="400" w:after="1300"/>
      <w:jc w:val="center"/>
    </w:pPr>
    <w:rPr>
      <w:i/>
      <w:sz w:val="24"/>
      <w:szCs w:val="24"/>
      <w:lang w:val="de-DE" w:eastAsia="de-DE"/>
    </w:rPr>
  </w:style>
  <w:style w:type="paragraph" w:customStyle="1" w:styleId="AbstracttitleDERJournal">
    <w:name w:val="Abstract title DER Journal"/>
    <w:qFormat/>
    <w:rsid w:val="0096679A"/>
    <w:pPr>
      <w:spacing w:before="360" w:after="120"/>
    </w:pPr>
    <w:rPr>
      <w:b/>
      <w:sz w:val="22"/>
      <w:szCs w:val="24"/>
      <w:lang w:val="de-DE" w:eastAsia="de-DE"/>
    </w:rPr>
  </w:style>
  <w:style w:type="paragraph" w:customStyle="1" w:styleId="FormulaDERJournal">
    <w:name w:val="Formula DER Journal"/>
    <w:qFormat/>
    <w:rsid w:val="0096679A"/>
    <w:pPr>
      <w:jc w:val="right"/>
    </w:pPr>
    <w:rPr>
      <w:sz w:val="22"/>
      <w:szCs w:val="24"/>
      <w:lang w:val="de-DE" w:eastAsia="de-DE"/>
    </w:rPr>
  </w:style>
  <w:style w:type="paragraph" w:customStyle="1" w:styleId="ColorfulList-Accent11">
    <w:name w:val="Colorful List - Accent 11"/>
    <w:basedOn w:val="Normal"/>
    <w:qFormat/>
    <w:rsid w:val="00597902"/>
    <w:pPr>
      <w:ind w:left="720"/>
      <w:contextualSpacing/>
    </w:pPr>
  </w:style>
  <w:style w:type="paragraph" w:customStyle="1" w:styleId="Text">
    <w:name w:val="Text"/>
    <w:basedOn w:val="Normal"/>
    <w:link w:val="TextChar"/>
    <w:qFormat/>
    <w:rsid w:val="00A036B3"/>
    <w:pPr>
      <w:widowControl w:val="0"/>
      <w:spacing w:after="0" w:line="252" w:lineRule="auto"/>
      <w:ind w:firstLine="202"/>
    </w:pPr>
    <w:rPr>
      <w:rFonts w:eastAsia="PMingLiU"/>
      <w:sz w:val="20"/>
      <w:szCs w:val="20"/>
      <w:lang w:val="en-US" w:eastAsia="en-US"/>
    </w:rPr>
  </w:style>
  <w:style w:type="paragraph" w:styleId="DocumentMap">
    <w:name w:val="Document Map"/>
    <w:basedOn w:val="Normal"/>
    <w:link w:val="DocumentMapChar"/>
    <w:qFormat/>
    <w:rsid w:val="00C91230"/>
    <w:pPr>
      <w:shd w:val="clear" w:color="auto" w:fill="000080"/>
      <w:bidi/>
      <w:spacing w:after="0"/>
      <w:jc w:val="left"/>
    </w:pPr>
    <w:rPr>
      <w:rFonts w:ascii="Tahoma" w:hAnsi="Tahoma" w:cs="Tahoma"/>
      <w:sz w:val="20"/>
      <w:szCs w:val="20"/>
      <w:lang w:val="en-US" w:eastAsia="en-US"/>
    </w:rPr>
  </w:style>
  <w:style w:type="paragraph" w:customStyle="1" w:styleId="HeaderandFooter">
    <w:name w:val="Header and Footer"/>
    <w:basedOn w:val="Normal"/>
    <w:qFormat/>
  </w:style>
  <w:style w:type="paragraph" w:styleId="Header">
    <w:name w:val="header"/>
    <w:basedOn w:val="Normal"/>
    <w:link w:val="HeaderChar"/>
    <w:uiPriority w:val="99"/>
    <w:rsid w:val="00111349"/>
    <w:pPr>
      <w:tabs>
        <w:tab w:val="center" w:pos="4680"/>
        <w:tab w:val="right" w:pos="9360"/>
      </w:tabs>
    </w:pPr>
  </w:style>
  <w:style w:type="paragraph" w:styleId="Footer">
    <w:name w:val="footer"/>
    <w:basedOn w:val="Normal"/>
    <w:link w:val="FooterChar"/>
    <w:uiPriority w:val="99"/>
    <w:rsid w:val="00111349"/>
    <w:pPr>
      <w:tabs>
        <w:tab w:val="center" w:pos="4680"/>
        <w:tab w:val="right" w:pos="9360"/>
      </w:tabs>
    </w:pPr>
  </w:style>
  <w:style w:type="paragraph" w:styleId="BalloonText">
    <w:name w:val="Balloon Text"/>
    <w:basedOn w:val="Normal"/>
    <w:link w:val="BalloonTextChar"/>
    <w:uiPriority w:val="99"/>
    <w:qFormat/>
    <w:rsid w:val="00111349"/>
    <w:pPr>
      <w:spacing w:after="0"/>
    </w:pPr>
    <w:rPr>
      <w:rFonts w:ascii="Tahoma" w:hAnsi="Tahoma" w:cs="Tahoma"/>
      <w:sz w:val="16"/>
      <w:szCs w:val="16"/>
    </w:rPr>
  </w:style>
  <w:style w:type="paragraph" w:styleId="FootnoteText">
    <w:name w:val="footnote text"/>
    <w:basedOn w:val="Normal"/>
    <w:link w:val="FootnoteTextChar"/>
    <w:uiPriority w:val="99"/>
    <w:rsid w:val="005C2BE3"/>
    <w:rPr>
      <w:sz w:val="20"/>
      <w:szCs w:val="20"/>
    </w:rPr>
  </w:style>
  <w:style w:type="paragraph" w:customStyle="1" w:styleId="WW-BodyText2">
    <w:name w:val="WW-Body Text 2"/>
    <w:basedOn w:val="Normal"/>
    <w:qFormat/>
    <w:rsid w:val="000E3323"/>
    <w:pPr>
      <w:spacing w:after="0"/>
    </w:pPr>
    <w:rPr>
      <w:color w:val="000000"/>
      <w:sz w:val="24"/>
      <w:szCs w:val="20"/>
      <w:lang w:val="en-US" w:eastAsia="ar-SA"/>
    </w:rPr>
  </w:style>
  <w:style w:type="paragraph" w:styleId="NormalWeb">
    <w:name w:val="Normal (Web)"/>
    <w:basedOn w:val="Normal"/>
    <w:uiPriority w:val="99"/>
    <w:qFormat/>
    <w:rsid w:val="00CE783C"/>
    <w:pPr>
      <w:spacing w:beforeAutospacing="1" w:afterAutospacing="1"/>
      <w:jc w:val="left"/>
    </w:pPr>
    <w:rPr>
      <w:sz w:val="24"/>
      <w:lang w:val="en-US" w:eastAsia="en-US"/>
    </w:rPr>
  </w:style>
  <w:style w:type="paragraph" w:styleId="EndnoteText">
    <w:name w:val="endnote text"/>
    <w:basedOn w:val="Normal"/>
    <w:link w:val="EndnoteTextChar"/>
    <w:rsid w:val="00830B8F"/>
    <w:pPr>
      <w:spacing w:after="0"/>
    </w:pPr>
    <w:rPr>
      <w:sz w:val="20"/>
      <w:szCs w:val="20"/>
    </w:rPr>
  </w:style>
  <w:style w:type="paragraph" w:customStyle="1" w:styleId="Style7">
    <w:name w:val="Style 7"/>
    <w:qFormat/>
    <w:rsid w:val="00F93F5F"/>
    <w:pPr>
      <w:widowControl w:val="0"/>
      <w:spacing w:line="300" w:lineRule="auto"/>
      <w:jc w:val="both"/>
    </w:pPr>
    <w:rPr>
      <w:lang w:eastAsia="ja-JP"/>
    </w:rPr>
  </w:style>
  <w:style w:type="paragraph" w:styleId="ListParagraph">
    <w:name w:val="List Paragraph"/>
    <w:basedOn w:val="Normal"/>
    <w:uiPriority w:val="34"/>
    <w:qFormat/>
    <w:rsid w:val="004B60F1"/>
    <w:pPr>
      <w:spacing w:after="200" w:line="276" w:lineRule="auto"/>
      <w:ind w:left="720"/>
      <w:contextualSpacing/>
      <w:jc w:val="left"/>
    </w:pPr>
    <w:rPr>
      <w:rFonts w:eastAsia="Times New Roman"/>
      <w:szCs w:val="22"/>
      <w:lang w:val="id-ID" w:eastAsia="en-US"/>
    </w:rPr>
  </w:style>
  <w:style w:type="paragraph" w:customStyle="1" w:styleId="FormatUI">
    <w:name w:val="Format UI"/>
    <w:link w:val="FormatUIChar"/>
    <w:qFormat/>
    <w:rsid w:val="004B60F1"/>
    <w:pPr>
      <w:spacing w:line="360" w:lineRule="auto"/>
      <w:ind w:firstLine="851"/>
      <w:contextualSpacing/>
      <w:jc w:val="both"/>
    </w:pPr>
    <w:rPr>
      <w:rFonts w:eastAsia="Times New Roman"/>
      <w:sz w:val="24"/>
      <w:szCs w:val="22"/>
      <w:lang w:val="id-ID" w:eastAsia="id-ID"/>
    </w:rPr>
  </w:style>
  <w:style w:type="paragraph" w:styleId="HTMLPreformatted">
    <w:name w:val="HTML Preformatted"/>
    <w:basedOn w:val="Normal"/>
    <w:link w:val="HTMLPreformattedChar"/>
    <w:qFormat/>
    <w:rsid w:val="005537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left"/>
    </w:pPr>
    <w:rPr>
      <w:rFonts w:ascii="GulimChe" w:eastAsia="GulimChe" w:hAnsi="GulimChe" w:cs="GulimChe"/>
      <w:sz w:val="24"/>
      <w:lang w:val="en-US" w:eastAsia="ko-KR"/>
    </w:rPr>
  </w:style>
  <w:style w:type="paragraph" w:customStyle="1" w:styleId="a1">
    <w:name w:val="바탕글"/>
    <w:basedOn w:val="Normal"/>
    <w:qFormat/>
    <w:rsid w:val="0055374E"/>
    <w:pPr>
      <w:snapToGrid w:val="0"/>
      <w:spacing w:after="0" w:line="384" w:lineRule="auto"/>
    </w:pPr>
    <w:rPr>
      <w:rFonts w:ascii="함초롬바탕" w:eastAsia="함초롬바탕" w:hAnsi="함초롬바탕" w:cs="Gulim"/>
      <w:color w:val="000000"/>
      <w:sz w:val="20"/>
      <w:szCs w:val="20"/>
      <w:lang w:val="en-US" w:eastAsia="ko-KR"/>
    </w:rPr>
  </w:style>
  <w:style w:type="paragraph" w:customStyle="1" w:styleId="Journalmaintext">
    <w:name w:val="Journal maintext"/>
    <w:basedOn w:val="Normal"/>
    <w:link w:val="JournalmaintextChar"/>
    <w:qFormat/>
    <w:rsid w:val="009A596D"/>
    <w:pPr>
      <w:spacing w:after="240" w:line="480" w:lineRule="auto"/>
      <w:ind w:firstLine="720"/>
    </w:pPr>
    <w:rPr>
      <w:rFonts w:eastAsia="SimSun"/>
      <w:sz w:val="24"/>
      <w:lang w:val="en-US" w:eastAsia="zh-CN"/>
    </w:rPr>
  </w:style>
  <w:style w:type="paragraph" w:customStyle="1" w:styleId="Content">
    <w:name w:val="Content"/>
    <w:basedOn w:val="Normal"/>
    <w:link w:val="ContentChar"/>
    <w:qFormat/>
    <w:rsid w:val="00CB4395"/>
    <w:pPr>
      <w:spacing w:after="200" w:line="360" w:lineRule="auto"/>
      <w:ind w:firstLine="720"/>
    </w:pPr>
    <w:rPr>
      <w:rFonts w:eastAsia="Calibri"/>
      <w:sz w:val="24"/>
      <w:szCs w:val="18"/>
      <w:lang w:val="en-MY" w:eastAsia="en-US"/>
    </w:rPr>
  </w:style>
  <w:style w:type="paragraph" w:styleId="BodyText2">
    <w:name w:val="Body Text 2"/>
    <w:basedOn w:val="Normal"/>
    <w:link w:val="BodyText2Char"/>
    <w:qFormat/>
    <w:rsid w:val="00E95F33"/>
    <w:pPr>
      <w:spacing w:line="480" w:lineRule="auto"/>
      <w:jc w:val="left"/>
    </w:pPr>
    <w:rPr>
      <w:rFonts w:eastAsia="Times New Roman"/>
      <w:sz w:val="24"/>
      <w:lang w:val="id-ID" w:eastAsia="en-US"/>
    </w:rPr>
  </w:style>
  <w:style w:type="paragraph" w:customStyle="1" w:styleId="DecimalAligned">
    <w:name w:val="Decimal Aligned"/>
    <w:basedOn w:val="Normal"/>
    <w:uiPriority w:val="40"/>
    <w:qFormat/>
    <w:rsid w:val="00547E0F"/>
    <w:pPr>
      <w:tabs>
        <w:tab w:val="decimal" w:pos="360"/>
      </w:tabs>
      <w:spacing w:after="200" w:line="276" w:lineRule="auto"/>
      <w:jc w:val="left"/>
    </w:pPr>
    <w:rPr>
      <w:rFonts w:asciiTheme="minorHAnsi" w:eastAsiaTheme="minorEastAsia" w:hAnsiTheme="minorHAnsi" w:cstheme="minorBidi"/>
      <w:szCs w:val="22"/>
      <w:lang w:val="en-US" w:eastAsia="en-US"/>
    </w:rPr>
  </w:style>
  <w:style w:type="paragraph" w:styleId="NoSpacing">
    <w:name w:val="No Spacing"/>
    <w:uiPriority w:val="1"/>
    <w:qFormat/>
    <w:rsid w:val="004D4074"/>
    <w:rPr>
      <w:rFonts w:asciiTheme="minorHAnsi" w:eastAsiaTheme="minorEastAsia" w:hAnsiTheme="minorHAnsi" w:cstheme="minorBidi"/>
      <w:sz w:val="22"/>
      <w:szCs w:val="22"/>
    </w:rPr>
  </w:style>
  <w:style w:type="paragraph" w:customStyle="1" w:styleId="TableTitle">
    <w:name w:val="Table Title"/>
    <w:basedOn w:val="Normal"/>
    <w:qFormat/>
    <w:rsid w:val="00824584"/>
    <w:pPr>
      <w:spacing w:after="0"/>
      <w:jc w:val="center"/>
    </w:pPr>
    <w:rPr>
      <w:smallCaps/>
      <w:sz w:val="16"/>
      <w:szCs w:val="16"/>
      <w:lang w:val="en-US" w:eastAsia="en-US"/>
    </w:rPr>
  </w:style>
  <w:style w:type="paragraph" w:customStyle="1" w:styleId="Para0PTafter2Lines">
    <w:name w:val="Para0PTafter2Lines"/>
    <w:basedOn w:val="Normal"/>
    <w:link w:val="Para0PTafter2LinesChar"/>
    <w:qFormat/>
    <w:rsid w:val="00244A33"/>
    <w:pPr>
      <w:spacing w:after="600" w:line="360" w:lineRule="auto"/>
      <w:ind w:firstLine="720"/>
    </w:pPr>
    <w:rPr>
      <w:sz w:val="28"/>
      <w:szCs w:val="28"/>
      <w:lang w:val="en-US" w:eastAsia="en-US"/>
    </w:rPr>
  </w:style>
  <w:style w:type="paragraph" w:customStyle="1" w:styleId="Normal9ptjustified">
    <w:name w:val="Normal+9 pt+justified"/>
    <w:basedOn w:val="Para0PTafter2Lines"/>
    <w:link w:val="Normal9ptjustifiedChar"/>
    <w:qFormat/>
    <w:rsid w:val="00244A33"/>
    <w:pPr>
      <w:keepNext/>
      <w:spacing w:after="0" w:line="240" w:lineRule="auto"/>
      <w:ind w:firstLine="0"/>
    </w:pPr>
  </w:style>
  <w:style w:type="paragraph" w:customStyle="1" w:styleId="17-SciencePG-Level2-Multiple-line">
    <w:name w:val="17-SciencePG-Level2-Multiple-line"/>
    <w:basedOn w:val="Normal"/>
    <w:qFormat/>
    <w:rsid w:val="00523523"/>
    <w:pPr>
      <w:widowControl w:val="0"/>
      <w:snapToGrid w:val="0"/>
      <w:spacing w:before="160" w:after="160" w:line="240" w:lineRule="exact"/>
      <w:ind w:left="361" w:hanging="361"/>
      <w:jc w:val="left"/>
    </w:pPr>
    <w:rPr>
      <w:rFonts w:eastAsia="Times New Roman"/>
      <w:b/>
      <w:i/>
      <w:kern w:val="2"/>
      <w:sz w:val="20"/>
      <w:szCs w:val="20"/>
      <w:lang w:val="en-US" w:eastAsia="zh-CN"/>
    </w:rPr>
  </w:style>
  <w:style w:type="paragraph" w:customStyle="1" w:styleId="20-SciencePG-Text">
    <w:name w:val="20-SciencePG-Text"/>
    <w:basedOn w:val="Normal"/>
    <w:qFormat/>
    <w:rsid w:val="005311E9"/>
    <w:pPr>
      <w:widowControl w:val="0"/>
      <w:snapToGrid w:val="0"/>
      <w:spacing w:after="0" w:line="240" w:lineRule="exact"/>
      <w:ind w:firstLine="100"/>
    </w:pPr>
    <w:rPr>
      <w:rFonts w:eastAsia="Times New Roman"/>
      <w:kern w:val="2"/>
      <w:sz w:val="20"/>
      <w:szCs w:val="20"/>
      <w:lang w:val="en-US" w:eastAsia="zh-CN"/>
    </w:rPr>
  </w:style>
  <w:style w:type="paragraph" w:styleId="CommentText">
    <w:name w:val="annotation text"/>
    <w:basedOn w:val="Normal"/>
    <w:link w:val="CommentTextChar"/>
    <w:uiPriority w:val="99"/>
    <w:qFormat/>
    <w:rsid w:val="007970B8"/>
    <w:pPr>
      <w:spacing w:after="0"/>
      <w:jc w:val="left"/>
    </w:pPr>
    <w:rPr>
      <w:rFonts w:eastAsia="Times New Roman"/>
      <w:sz w:val="24"/>
      <w:lang w:val="en-US" w:eastAsia="en-US"/>
    </w:rPr>
  </w:style>
  <w:style w:type="paragraph" w:customStyle="1" w:styleId="BodyChar">
    <w:name w:val="Body Char"/>
    <w:link w:val="BodyCharChar"/>
    <w:qFormat/>
    <w:rsid w:val="006158C4"/>
    <w:pPr>
      <w:tabs>
        <w:tab w:val="left" w:pos="567"/>
      </w:tabs>
      <w:jc w:val="both"/>
    </w:pPr>
    <w:rPr>
      <w:rFonts w:ascii="Times" w:eastAsia="Times New Roman" w:hAnsi="Times"/>
      <w:color w:val="000000"/>
      <w:sz w:val="22"/>
      <w:szCs w:val="22"/>
      <w:lang w:val="en-GB"/>
    </w:rPr>
  </w:style>
  <w:style w:type="paragraph" w:styleId="CommentSubject">
    <w:name w:val="annotation subject"/>
    <w:basedOn w:val="CommentText"/>
    <w:next w:val="CommentText"/>
    <w:link w:val="CommentSubjectChar"/>
    <w:semiHidden/>
    <w:unhideWhenUsed/>
    <w:qFormat/>
    <w:rsid w:val="00E43E07"/>
    <w:pPr>
      <w:spacing w:after="120"/>
      <w:jc w:val="both"/>
    </w:pPr>
    <w:rPr>
      <w:rFonts w:eastAsia="MS Mincho"/>
      <w:b/>
      <w:bCs/>
      <w:sz w:val="20"/>
      <w:szCs w:val="20"/>
      <w:lang w:val="en-GB" w:eastAsia="de-DE"/>
    </w:rPr>
  </w:style>
  <w:style w:type="paragraph" w:customStyle="1" w:styleId="TEXTs">
    <w:name w:val="TEXTs"/>
    <w:basedOn w:val="BodyText"/>
    <w:link w:val="TEXTsChar"/>
    <w:qFormat/>
    <w:rsid w:val="00292860"/>
    <w:pPr>
      <w:spacing w:after="120" w:line="228" w:lineRule="auto"/>
      <w:ind w:firstLine="288"/>
    </w:pPr>
    <w:rPr>
      <w:rFonts w:eastAsia="SimSun"/>
      <w:i w:val="0"/>
      <w:iCs w:val="0"/>
      <w:spacing w:val="-1"/>
    </w:rPr>
  </w:style>
  <w:style w:type="paragraph" w:customStyle="1" w:styleId="bulletlist">
    <w:name w:val="bullet list"/>
    <w:basedOn w:val="BodyText"/>
    <w:qFormat/>
    <w:rsid w:val="00292860"/>
    <w:pPr>
      <w:numPr>
        <w:numId w:val="2"/>
      </w:numPr>
      <w:spacing w:after="120" w:line="228" w:lineRule="auto"/>
    </w:pPr>
    <w:rPr>
      <w:rFonts w:eastAsia="SimSun"/>
      <w:i w:val="0"/>
      <w:iCs w:val="0"/>
      <w:spacing w:val="-1"/>
      <w:sz w:val="20"/>
      <w:szCs w:val="20"/>
    </w:rPr>
  </w:style>
  <w:style w:type="paragraph" w:styleId="Title">
    <w:name w:val="Title"/>
    <w:basedOn w:val="Normal"/>
    <w:next w:val="Normal"/>
    <w:link w:val="TitleChar"/>
    <w:qFormat/>
    <w:rsid w:val="00292860"/>
    <w:pPr>
      <w:jc w:val="center"/>
    </w:pPr>
    <w:rPr>
      <w:sz w:val="40"/>
      <w:szCs w:val="40"/>
      <w:lang w:val="en-US" w:eastAsia="en-US"/>
    </w:rPr>
  </w:style>
  <w:style w:type="paragraph" w:customStyle="1" w:styleId="figurecaption">
    <w:name w:val="figure caption"/>
    <w:qFormat/>
    <w:rsid w:val="00292860"/>
    <w:pPr>
      <w:numPr>
        <w:numId w:val="3"/>
      </w:numPr>
      <w:spacing w:before="80" w:after="200"/>
      <w:jc w:val="center"/>
    </w:pPr>
    <w:rPr>
      <w:rFonts w:eastAsia="SimSun"/>
      <w:sz w:val="16"/>
      <w:szCs w:val="16"/>
      <w:lang w:eastAsia="ja-JP"/>
    </w:rPr>
  </w:style>
  <w:style w:type="paragraph" w:customStyle="1" w:styleId="Figurescaption">
    <w:name w:val="Figures caption"/>
    <w:basedOn w:val="figurecaption"/>
    <w:link w:val="FigurescaptionChar"/>
    <w:qFormat/>
    <w:rsid w:val="00292860"/>
  </w:style>
  <w:style w:type="paragraph" w:customStyle="1" w:styleId="EndNoteBibliography">
    <w:name w:val="EndNote Bibliography"/>
    <w:basedOn w:val="Normal"/>
    <w:link w:val="EndNoteBibliographyChar"/>
    <w:qFormat/>
    <w:rsid w:val="001E771A"/>
    <w:rPr>
      <w:lang w:val="de-DE"/>
    </w:rPr>
  </w:style>
  <w:style w:type="paragraph" w:customStyle="1" w:styleId="tablehead">
    <w:name w:val="table head"/>
    <w:uiPriority w:val="99"/>
    <w:qFormat/>
    <w:rsid w:val="00AA1C3B"/>
    <w:pPr>
      <w:numPr>
        <w:numId w:val="4"/>
      </w:numPr>
      <w:spacing w:before="240" w:after="120" w:line="216" w:lineRule="auto"/>
      <w:jc w:val="center"/>
    </w:pPr>
    <w:rPr>
      <w:rFonts w:eastAsia="Times New Roman"/>
      <w:smallCaps/>
      <w:sz w:val="16"/>
      <w:szCs w:val="16"/>
    </w:rPr>
  </w:style>
  <w:style w:type="paragraph" w:customStyle="1" w:styleId="Reference">
    <w:name w:val="Reference"/>
    <w:basedOn w:val="Normal"/>
    <w:qFormat/>
    <w:rsid w:val="001171A4"/>
    <w:pPr>
      <w:numPr>
        <w:numId w:val="5"/>
      </w:numPr>
      <w:spacing w:after="0"/>
    </w:pPr>
    <w:rPr>
      <w:sz w:val="20"/>
      <w:szCs w:val="20"/>
      <w:lang w:val="en-US" w:eastAsia="en-US"/>
    </w:rPr>
  </w:style>
  <w:style w:type="paragraph" w:customStyle="1" w:styleId="TAMainText">
    <w:name w:val="TA_Main_Text"/>
    <w:basedOn w:val="Normal"/>
    <w:link w:val="TAMainTextChar"/>
    <w:qFormat/>
    <w:rsid w:val="00804447"/>
    <w:pPr>
      <w:spacing w:after="0" w:line="220" w:lineRule="exact"/>
      <w:ind w:firstLine="187"/>
    </w:pPr>
    <w:rPr>
      <w:rFonts w:ascii="Times" w:hAnsi="Times"/>
      <w:sz w:val="18"/>
      <w:szCs w:val="20"/>
      <w:lang w:eastAsia="en-US"/>
    </w:rPr>
  </w:style>
  <w:style w:type="paragraph" w:customStyle="1" w:styleId="Afiliation">
    <w:name w:val="Afiliation"/>
    <w:basedOn w:val="Normal"/>
    <w:qFormat/>
    <w:rsid w:val="00BE4B5F"/>
    <w:pPr>
      <w:spacing w:after="0"/>
      <w:jc w:val="center"/>
    </w:pPr>
    <w:rPr>
      <w:i/>
      <w:iCs/>
      <w:sz w:val="24"/>
      <w:lang w:val="en-US" w:eastAsia="en-US"/>
    </w:rPr>
  </w:style>
  <w:style w:type="paragraph" w:customStyle="1" w:styleId="HeaderLeft">
    <w:name w:val="Header Left"/>
    <w:basedOn w:val="Header"/>
    <w:qFormat/>
  </w:style>
  <w:style w:type="table" w:styleId="TableGrid">
    <w:name w:val="Table Grid"/>
    <w:basedOn w:val="TableNormal"/>
    <w:uiPriority w:val="59"/>
    <w:rsid w:val="002A7A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547E0F"/>
    <w:rPr>
      <w:rFonts w:asciiTheme="minorHAnsi" w:eastAsiaTheme="minorEastAsia" w:hAnsiTheme="minorHAnsi" w:cstheme="minorBidi"/>
      <w:color w:val="000000" w:themeColor="text1" w:themeShade="BF"/>
      <w:sz w:val="22"/>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ColorfulList-Accent1">
    <w:name w:val="Colorful List Accent 1"/>
    <w:basedOn w:val="TableNormal"/>
    <w:uiPriority w:val="34"/>
    <w:semiHidden/>
    <w:unhideWhenUsed/>
    <w:rsid w:val="006158C4"/>
    <w:rPr>
      <w:sz w:val="22"/>
      <w:szCs w:val="22"/>
      <w:lang w:val="id-ID"/>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LightShading2">
    <w:name w:val="Light Shading2"/>
    <w:basedOn w:val="TableNormal"/>
    <w:uiPriority w:val="60"/>
    <w:rsid w:val="00D17379"/>
    <w:rPr>
      <w:color w:val="000000" w:themeColor="text1" w:themeShade="BF"/>
      <w:lang w:val="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6Colorful1">
    <w:name w:val="List Table 6 Colorful1"/>
    <w:basedOn w:val="TableNormal"/>
    <w:uiPriority w:val="51"/>
    <w:rsid w:val="00AA1C3B"/>
    <w:pPr>
      <w:jc w:val="center"/>
    </w:pPr>
    <w:rPr>
      <w:color w:val="000000" w:themeColor="text1"/>
      <w:sz w:val="24"/>
    </w:rPr>
    <w:tblPr>
      <w:tblStyleRowBandSize w:val="1"/>
      <w:tblStyleColBandSize w:val="1"/>
      <w:tblBorders>
        <w:top w:val="single" w:sz="12" w:space="0" w:color="auto"/>
        <w:bottom w:val="single" w:sz="12" w:space="0" w:color="auto"/>
      </w:tblBorders>
    </w:tblPr>
    <w:tcPr>
      <w:shd w:val="clear" w:color="auto" w:fill="auto"/>
      <w:vAlign w:val="center"/>
    </w:tc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9D3E40"/>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Ton16</b:Tag>
    <b:SourceType>ConferenceProceedings</b:SourceType>
    <b:Guid>{666AD27E-1B2F-480C-95EF-6488AF3D121A}</b:Guid>
    <b:Author>
      <b:Author>
        <b:NameList>
          <b:Person>
            <b:Last>Tong</b:Last>
            <b:First>Zhou</b:First>
          </b:Person>
          <b:Person>
            <b:Last>Zhang</b:Last>
            <b:First>Haiyi</b:First>
          </b:Person>
        </b:NameList>
      </b:Author>
    </b:Author>
    <b:Title>A Text Mining Research Based on LDA Topic Modelling</b:Title>
    <b:Year>2016</b:Year>
    <b:ConferenceName>The Sixth International Conference on Computer Science, Engineering and Information Technology</b:ConferenceName>
    <b:City>Vienna</b:City>
    <b:RefOrder>8</b:RefOrder>
  </b:Source>
  <b:Source>
    <b:Tag>Lim12</b:Tag>
    <b:SourceType>ConferenceProceedings</b:SourceType>
    <b:Guid>{2C05C7F8-D44B-4DC5-90A6-461E045C44F5}</b:Guid>
    <b:Author>
      <b:Author>
        <b:NameList>
          <b:Person>
            <b:Last>Lim</b:Last>
            <b:First>Kar</b:First>
            <b:Middle>Wai</b:Middle>
          </b:Person>
          <b:Person>
            <b:Last>Buntine</b:Last>
            <b:First>Wray</b:First>
          </b:Person>
        </b:NameList>
      </b:Author>
    </b:Author>
    <b:Title>Twitter Opinion Topic Model: Extracting Product Opinions from Tweets by Leveraging Hashtags and Sentiment Lexicon</b:Title>
    <b:Year>2012</b:Year>
    <b:ConferenceName>The 21st ACM International Conference on Information and Knowledge Management</b:ConferenceName>
    <b:City>Maui</b:City>
    <b:RefOrder>9</b:RefOrder>
  </b:Source>
  <b:Source>
    <b:Tag>Put17</b:Tag>
    <b:SourceType>JournalArticle</b:SourceType>
    <b:Guid>{A54928F3-78EE-4A56-A812-882D5D1A7D5E}</b:Guid>
    <b:Author>
      <b:Author>
        <b:NameList>
          <b:Person>
            <b:Last>Putri</b:Last>
            <b:First>I.</b:First>
            <b:Middle>R.</b:Middle>
          </b:Person>
          <b:Person>
            <b:Last>Kusumaningrum</b:Last>
            <b:First>R.</b:First>
          </b:Person>
        </b:NameList>
      </b:Author>
    </b:Author>
    <b:Title>Latent Dirichlet Allocation (LDA) for Sentiment Analysis Toward Tourism Review in Indonesia</b:Title>
    <b:JournalName>Journal of Physics: Conference Series</b:JournalName>
    <b:Year>2017</b:Year>
    <b:Pages>1-6</b:Pages>
    <b:Volume>801</b:Volume>
    <b:Issue>1</b:Issue>
    <b:RefOrder>10</b:RefOrder>
  </b:Source>
  <b:Source>
    <b:Tag>Phi16</b:Tag>
    <b:SourceType>JournalArticle</b:SourceType>
    <b:Guid>{2972F98D-9946-4D28-A2C8-A3B308EF0052}</b:Guid>
    <b:Author>
      <b:Author>
        <b:NameList>
          <b:Person>
            <b:Last>Philander</b:Last>
            <b:First>K.</b:First>
          </b:Person>
          <b:Person>
            <b:Last>Zhong</b:Last>
            <b:First>Y.</b:First>
          </b:Person>
        </b:NameList>
      </b:Author>
    </b:Author>
    <b:Title>Twitter sentiment analysis: Capturing sentiment from integrated resort tweets</b:Title>
    <b:Pages>16-24</b:Pages>
    <b:Year>2016</b:Year>
    <b:JournalName>International Journal of Hospitality Management</b:JournalName>
    <b:Volume>55</b:Volume>
    <b:RefOrder>3</b:RefOrder>
  </b:Source>
  <b:Source>
    <b:Tag>Ble12</b:Tag>
    <b:SourceType>JournalArticle</b:SourceType>
    <b:Guid>{7287BF6C-5877-4A3E-8971-55909AAC077F}</b:Guid>
    <b:Author>
      <b:Author>
        <b:NameList>
          <b:Person>
            <b:Last>Blei</b:Last>
            <b:First>D.</b:First>
            <b:Middle>M.</b:Middle>
          </b:Person>
        </b:NameList>
      </b:Author>
    </b:Author>
    <b:Title>Probabilistic Topic Model</b:Title>
    <b:JournalName>Communications of the ACM</b:JournalName>
    <b:Year>2012</b:Year>
    <b:Pages>77-84</b:Pages>
    <b:Volume>55</b:Volume>
    <b:Issue>4</b:Issue>
    <b:RefOrder>17</b:RefOrder>
  </b:Source>
  <b:Source>
    <b:Tag>Gru11</b:Tag>
    <b:SourceType>JournalArticle</b:SourceType>
    <b:Guid>{B180914D-F2DB-480F-86B0-9444669786DA}</b:Guid>
    <b:Author>
      <b:Author>
        <b:NameList>
          <b:Person>
            <b:Last>Gruen</b:Last>
            <b:First>B.</b:First>
          </b:Person>
          <b:Person>
            <b:Last>Hornik</b:Last>
            <b:First>K.</b:First>
          </b:Person>
        </b:NameList>
      </b:Author>
    </b:Author>
    <b:Title>topicmodels: An R Package for Fitting Topic Models</b:Title>
    <b:JournalName>Journal of Statistical Software</b:JournalName>
    <b:Year>2011</b:Year>
    <b:Pages>1-30</b:Pages>
    <b:Volume>40</b:Volume>
    <b:Issue>13</b:Issue>
    <b:RefOrder>18</b:RefOrder>
  </b:Source>
  <b:Source>
    <b:Tag>Hsu02</b:Tag>
    <b:SourceType>ConferenceProceedings</b:SourceType>
    <b:Guid>{04FEBCC4-B9BB-46A1-B30A-EDAAA0D20BB3}</b:Guid>
    <b:Title>A comparison of methods for multiclass support vector machines</b:Title>
    <b:Year>2002</b:Year>
    <b:Pages>415-425</b:Pages>
    <b:Author>
      <b:Author>
        <b:NameList>
          <b:Person>
            <b:Last>Hsu</b:Last>
            <b:First>C.</b:First>
            <b:Middle>W.</b:Middle>
          </b:Person>
          <b:Person>
            <b:Last>Lin</b:Last>
            <b:First>C.</b:First>
            <b:Middle>J.</b:Middle>
          </b:Person>
        </b:NameList>
      </b:Author>
    </b:Author>
    <b:ConferenceName>IEEE Transactions on Neural Networks</b:ConferenceName>
    <b:City>Taiwan</b:City>
    <b:Publisher>IEEE</b:Publisher>
    <b:Volume>13</b:Volume>
    <b:RefOrder>20</b:RefOrder>
  </b:Source>
  <b:Source>
    <b:Tag>Wan14</b:Tag>
    <b:SourceType>BookSection</b:SourceType>
    <b:Guid>{8E90F42C-FC90-4A8A-91BB-800213CBF406}</b:Guid>
    <b:Title>Multi-class Support Vector Machines</b:Title>
    <b:Pages>23–49</b:Pages>
    <b:Year>2014</b:Year>
    <b:City>Basel</b:City>
    <b:Publisher>Springer International Publishing</b:Publisher>
    <b:Author>
      <b:Author>
        <b:NameList>
          <b:Person>
            <b:Last>Wang</b:Last>
            <b:First>Z.</b:First>
          </b:Person>
          <b:Person>
            <b:Last>Xue</b:Last>
            <b:First>X.</b:First>
          </b:Person>
        </b:NameList>
      </b:Author>
      <b:BookAuthor>
        <b:NameList>
          <b:Person>
            <b:Last>Ma</b:Last>
            <b:First>Y.</b:First>
          </b:Person>
          <b:Person>
            <b:Last>Guo</b:Last>
            <b:First>G.</b:First>
          </b:Person>
        </b:NameList>
      </b:BookAuthor>
    </b:Author>
    <b:BookTitle>Support Vector Machines Applications</b:BookTitle>
    <b:RefOrder>21</b:RefOrder>
  </b:Source>
  <b:Source>
    <b:Tag>Rok15</b:Tag>
    <b:SourceType>Book</b:SourceType>
    <b:Guid>{CCD46CFA-29C7-49E6-80B9-E7936DA07458}</b:Guid>
    <b:Title>Data Mining with Decision Trees: Theory and Applications</b:Title>
    <b:Year>2015</b:Year>
    <b:Publisher>World Scientific Publishing</b:Publisher>
    <b:City>Singapore</b:City>
    <b:Author>
      <b:Author>
        <b:NameList>
          <b:Person>
            <b:Last>Rokach</b:Last>
            <b:First>L.</b:First>
          </b:Person>
          <b:Person>
            <b:Last>Maimon</b:Last>
            <b:First>O.</b:First>
          </b:Person>
        </b:NameList>
      </b:Author>
    </b:Author>
    <b:Edition>2nd</b:Edition>
    <b:RefOrder>23</b:RefOrder>
  </b:Source>
</b:Sources>
</file>

<file path=customXml/itemProps1.xml><?xml version="1.0" encoding="utf-8"?>
<ds:datastoreItem xmlns:ds="http://schemas.openxmlformats.org/officeDocument/2006/customXml" ds:itemID="{75584827-F9AC-42CB-99D7-DA075130D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12</Pages>
  <Words>12662</Words>
  <Characters>72180</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TEMPLATE FOR A PUBLICATION IN THE “INTERNATIONAL JOURNAL OF DISTRIBUTED ENERGY RESOURCES”</vt:lpstr>
    </vt:vector>
  </TitlesOfParts>
  <Company>Grizli777</Company>
  <LinksUpToDate>false</LinksUpToDate>
  <CharactersWithSpaces>84673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A PUBLICATION IN THE “INTERNATIONAL JOURNAL OF DISTRIBUTED ENERGY RESOURCES”</dc:title>
  <dc:subject/>
  <dc:creator>Eko Adhi  Setiawan</dc:creator>
  <dc:description/>
  <cp:lastModifiedBy>Palupi Puspitorini</cp:lastModifiedBy>
  <cp:revision>5</cp:revision>
  <cp:lastPrinted>2020-01-07T09:29:00Z</cp:lastPrinted>
  <dcterms:created xsi:type="dcterms:W3CDTF">2026-07-22T10:02:00Z</dcterms:created>
  <dcterms:modified xsi:type="dcterms:W3CDTF">2026-07-23T00:45:00Z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zotero-version="9.0.5"&gt;&lt;session id="UHc8oKzh"/&gt;&lt;style id="http://www.zotero.org/styles/apa" locale="en-US" hasBibliography="1" bibliographyStyleHasBeenSet="1"/&gt;&lt;prefs&gt;&lt;pref name="fieldType" value="Field"/&gt;&lt;pref name="automaticJourna</vt:lpwstr>
  </property>
  <property fmtid="{D5CDD505-2E9C-101B-9397-08002B2CF9AE}" pid="3" name="ZOTERO_PREF_2">
    <vt:lpwstr>lAbbreviations" value="true"/&gt;&lt;/prefs&gt;&lt;/data&gt;</vt:lpwstr>
  </property>
</Properties>
</file>