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9D24" w14:textId="77777777" w:rsidR="00D30C69" w:rsidRPr="00F503D7" w:rsidRDefault="00D30C69" w:rsidP="00D30C69">
      <w:pPr>
        <w:spacing w:line="240" w:lineRule="auto"/>
        <w:jc w:val="center"/>
        <w:rPr>
          <w:rFonts w:ascii="Book Antiqua" w:hAnsi="Book Antiqua" w:cstheme="majorBidi"/>
          <w:b/>
          <w:bCs/>
          <w:sz w:val="24"/>
          <w:szCs w:val="24"/>
          <w:lang w:val="en-US"/>
        </w:rPr>
      </w:pPr>
      <w:r w:rsidRPr="00F503D7">
        <w:rPr>
          <w:rFonts w:ascii="Book Antiqua" w:hAnsi="Book Antiqua" w:cstheme="majorBidi"/>
          <w:b/>
          <w:bCs/>
          <w:sz w:val="24"/>
          <w:szCs w:val="24"/>
          <w:lang w:val="en-US"/>
        </w:rPr>
        <w:t>IMPLIKASI YURIDIS PUTUSAN</w:t>
      </w:r>
      <w:r w:rsidRPr="00F503D7">
        <w:rPr>
          <w:rFonts w:ascii="Book Antiqua" w:hAnsi="Book Antiqua" w:cstheme="majorBidi"/>
          <w:b/>
          <w:bCs/>
          <w:sz w:val="24"/>
          <w:szCs w:val="24"/>
        </w:rPr>
        <w:t xml:space="preserve"> </w:t>
      </w:r>
      <w:r w:rsidRPr="00F503D7">
        <w:rPr>
          <w:rFonts w:ascii="Book Antiqua" w:hAnsi="Book Antiqua" w:cstheme="majorBidi"/>
          <w:b/>
          <w:bCs/>
          <w:sz w:val="24"/>
          <w:szCs w:val="24"/>
          <w:lang w:val="en-US"/>
        </w:rPr>
        <w:t xml:space="preserve">HAKIM </w:t>
      </w:r>
    </w:p>
    <w:p w14:paraId="691C3868" w14:textId="77777777" w:rsidR="00D30C69" w:rsidRPr="00F503D7" w:rsidRDefault="00D30C69" w:rsidP="00D30C69">
      <w:pPr>
        <w:spacing w:line="360" w:lineRule="auto"/>
        <w:jc w:val="center"/>
        <w:rPr>
          <w:rFonts w:ascii="Book Antiqua" w:hAnsi="Book Antiqua" w:cstheme="majorBidi"/>
          <w:b/>
          <w:bCs/>
          <w:sz w:val="24"/>
          <w:szCs w:val="24"/>
          <w:lang w:val="en-US"/>
        </w:rPr>
      </w:pPr>
      <w:r w:rsidRPr="00F503D7">
        <w:rPr>
          <w:rFonts w:ascii="Book Antiqua" w:hAnsi="Book Antiqua" w:cstheme="majorBidi"/>
          <w:b/>
          <w:bCs/>
          <w:sz w:val="24"/>
          <w:szCs w:val="24"/>
          <w:lang w:val="en-US"/>
        </w:rPr>
        <w:t>PENGADILAN AGAMA TERHADAP HAK ASUH ANAK SELAMA 7 TAHUN KEPADA IBU YANG MURTAD</w:t>
      </w:r>
    </w:p>
    <w:p w14:paraId="7AACCECF" w14:textId="21F2D246" w:rsidR="00D30C69" w:rsidRPr="00F503D7" w:rsidRDefault="00D30C69" w:rsidP="00D30C69">
      <w:pPr>
        <w:spacing w:line="360" w:lineRule="auto"/>
        <w:jc w:val="center"/>
        <w:rPr>
          <w:rFonts w:ascii="Book Antiqua" w:hAnsi="Book Antiqua" w:cstheme="majorBidi"/>
          <w:b/>
          <w:bCs/>
          <w:sz w:val="24"/>
          <w:szCs w:val="24"/>
        </w:rPr>
      </w:pPr>
      <w:r w:rsidRPr="00F503D7">
        <w:rPr>
          <w:rFonts w:ascii="Book Antiqua" w:hAnsi="Book Antiqua" w:cstheme="majorBidi"/>
          <w:b/>
          <w:bCs/>
          <w:sz w:val="24"/>
          <w:szCs w:val="24"/>
        </w:rPr>
        <w:t>(STUDI PUTUSAN PA PARIGI NO. 0117/PDT.G/2016/PA.PRGI)</w:t>
      </w:r>
    </w:p>
    <w:p w14:paraId="44B2DEF5" w14:textId="6A2A045F" w:rsidR="006F380D" w:rsidRPr="00F503D7" w:rsidRDefault="00D30C69" w:rsidP="00D30C69">
      <w:pPr>
        <w:spacing w:after="0" w:line="240" w:lineRule="auto"/>
        <w:rPr>
          <w:rFonts w:ascii="Book Antiqua" w:hAnsi="Book Antiqua" w:cstheme="majorBidi"/>
          <w:sz w:val="24"/>
          <w:szCs w:val="24"/>
        </w:rPr>
      </w:pPr>
      <w:r w:rsidRPr="00F503D7">
        <w:rPr>
          <w:rFonts w:ascii="Book Antiqua" w:hAnsi="Book Antiqua"/>
          <w:sz w:val="24"/>
          <w:szCs w:val="24"/>
        </w:rPr>
        <w:tab/>
      </w:r>
      <w:r w:rsidRPr="00F503D7">
        <w:rPr>
          <w:rFonts w:ascii="Book Antiqua" w:hAnsi="Book Antiqua"/>
          <w:sz w:val="24"/>
          <w:szCs w:val="24"/>
        </w:rPr>
        <w:tab/>
      </w:r>
      <w:r w:rsidRPr="00F503D7">
        <w:rPr>
          <w:rFonts w:ascii="Book Antiqua" w:hAnsi="Book Antiqua"/>
          <w:sz w:val="24"/>
          <w:szCs w:val="24"/>
        </w:rPr>
        <w:tab/>
      </w:r>
      <w:r w:rsidRPr="00F503D7">
        <w:rPr>
          <w:rFonts w:ascii="Book Antiqua" w:hAnsi="Book Antiqua" w:cstheme="majorBidi"/>
          <w:b/>
          <w:bCs/>
          <w:sz w:val="24"/>
          <w:szCs w:val="24"/>
        </w:rPr>
        <w:t xml:space="preserve">Shania Dinda Salvani, </w:t>
      </w:r>
      <w:r w:rsidRPr="00F503D7">
        <w:rPr>
          <w:rFonts w:ascii="Book Antiqua" w:hAnsi="Book Antiqua" w:cstheme="majorBidi"/>
          <w:sz w:val="24"/>
          <w:szCs w:val="24"/>
        </w:rPr>
        <w:t>Universitas Islam Balitar Blitar,</w:t>
      </w:r>
    </w:p>
    <w:p w14:paraId="7BD891AE" w14:textId="3DD9FD28" w:rsidR="00D30C69" w:rsidRPr="00F503D7" w:rsidRDefault="00D30C69" w:rsidP="00D30C69">
      <w:pPr>
        <w:spacing w:line="240" w:lineRule="auto"/>
        <w:rPr>
          <w:rFonts w:ascii="Book Antiqua" w:hAnsi="Book Antiqua" w:cstheme="majorBidi"/>
          <w:sz w:val="24"/>
          <w:szCs w:val="24"/>
        </w:rPr>
      </w:pPr>
      <w:r w:rsidRPr="00F503D7">
        <w:rPr>
          <w:rFonts w:ascii="Book Antiqua" w:hAnsi="Book Antiqua" w:cstheme="majorBidi"/>
          <w:sz w:val="24"/>
          <w:szCs w:val="24"/>
        </w:rPr>
        <w:tab/>
      </w:r>
      <w:r w:rsidRPr="00F503D7">
        <w:rPr>
          <w:rFonts w:ascii="Book Antiqua" w:hAnsi="Book Antiqua" w:cstheme="majorBidi"/>
          <w:sz w:val="24"/>
          <w:szCs w:val="24"/>
        </w:rPr>
        <w:tab/>
      </w:r>
      <w:r w:rsidRPr="00F503D7">
        <w:rPr>
          <w:rFonts w:ascii="Book Antiqua" w:hAnsi="Book Antiqua" w:cstheme="majorBidi"/>
          <w:sz w:val="24"/>
          <w:szCs w:val="24"/>
        </w:rPr>
        <w:tab/>
        <w:t xml:space="preserve">     Kota Blitar, email : </w:t>
      </w:r>
      <w:hyperlink r:id="rId7" w:history="1">
        <w:r w:rsidRPr="00F503D7">
          <w:rPr>
            <w:rStyle w:val="Hyperlink"/>
            <w:rFonts w:ascii="Book Antiqua" w:hAnsi="Book Antiqua" w:cstheme="majorBidi"/>
            <w:sz w:val="24"/>
            <w:szCs w:val="24"/>
          </w:rPr>
          <w:t>shaniadindasalvn@gmail.com</w:t>
        </w:r>
      </w:hyperlink>
    </w:p>
    <w:p w14:paraId="4C5A2E9A" w14:textId="74FFA8CA" w:rsidR="00D30C69" w:rsidRPr="00F503D7" w:rsidRDefault="00D30C69" w:rsidP="00D30C69">
      <w:pPr>
        <w:spacing w:line="240" w:lineRule="auto"/>
        <w:rPr>
          <w:rFonts w:ascii="Book Antiqua" w:hAnsi="Book Antiqua" w:cstheme="majorBidi"/>
          <w:sz w:val="24"/>
          <w:szCs w:val="24"/>
        </w:rPr>
      </w:pPr>
    </w:p>
    <w:p w14:paraId="0EFB4C77" w14:textId="4F9C45F2" w:rsidR="00D30C69" w:rsidRPr="00F503D7" w:rsidRDefault="00D30C69" w:rsidP="00D30C69">
      <w:pPr>
        <w:spacing w:line="240" w:lineRule="auto"/>
        <w:rPr>
          <w:rFonts w:ascii="Book Antiqua" w:hAnsi="Book Antiqua" w:cstheme="majorBidi"/>
          <w:b/>
          <w:bCs/>
          <w:sz w:val="24"/>
          <w:szCs w:val="24"/>
        </w:rPr>
      </w:pPr>
      <w:r w:rsidRPr="00F503D7">
        <w:rPr>
          <w:rFonts w:ascii="Book Antiqua" w:hAnsi="Book Antiqua" w:cstheme="majorBidi"/>
          <w:sz w:val="24"/>
          <w:szCs w:val="24"/>
        </w:rPr>
        <w:tab/>
      </w:r>
      <w:r w:rsidRPr="00F503D7">
        <w:rPr>
          <w:rFonts w:ascii="Book Antiqua" w:hAnsi="Book Antiqua" w:cstheme="majorBidi"/>
          <w:sz w:val="24"/>
          <w:szCs w:val="24"/>
        </w:rPr>
        <w:tab/>
      </w:r>
      <w:r w:rsidRPr="00F503D7">
        <w:rPr>
          <w:rFonts w:ascii="Book Antiqua" w:hAnsi="Book Antiqua" w:cstheme="majorBidi"/>
          <w:sz w:val="24"/>
          <w:szCs w:val="24"/>
        </w:rPr>
        <w:tab/>
      </w:r>
      <w:r w:rsidRPr="00F503D7">
        <w:rPr>
          <w:rFonts w:ascii="Book Antiqua" w:hAnsi="Book Antiqua" w:cstheme="majorBidi"/>
          <w:sz w:val="24"/>
          <w:szCs w:val="24"/>
        </w:rPr>
        <w:tab/>
      </w:r>
      <w:r w:rsidRPr="00F503D7">
        <w:rPr>
          <w:rFonts w:ascii="Book Antiqua" w:hAnsi="Book Antiqua" w:cstheme="majorBidi"/>
          <w:sz w:val="24"/>
          <w:szCs w:val="24"/>
        </w:rPr>
        <w:tab/>
        <w:t xml:space="preserve">            </w:t>
      </w:r>
      <w:r w:rsidRPr="00F503D7">
        <w:rPr>
          <w:rFonts w:ascii="Book Antiqua" w:hAnsi="Book Antiqua" w:cstheme="majorBidi"/>
          <w:b/>
          <w:bCs/>
          <w:sz w:val="24"/>
          <w:szCs w:val="24"/>
        </w:rPr>
        <w:t>Abstrak</w:t>
      </w:r>
    </w:p>
    <w:p w14:paraId="450D2EA4" w14:textId="77777777" w:rsidR="006E3BBF" w:rsidRPr="00F503D7" w:rsidRDefault="00D30C69" w:rsidP="006E3BBF">
      <w:pPr>
        <w:spacing w:line="360" w:lineRule="auto"/>
        <w:jc w:val="both"/>
        <w:rPr>
          <w:rFonts w:ascii="Book Antiqua" w:hAnsi="Book Antiqua" w:cstheme="majorBidi"/>
          <w:sz w:val="24"/>
          <w:szCs w:val="24"/>
        </w:rPr>
      </w:pPr>
      <w:r w:rsidRPr="00F503D7">
        <w:rPr>
          <w:rFonts w:ascii="Book Antiqua" w:hAnsi="Book Antiqua" w:cstheme="majorBidi"/>
          <w:b/>
          <w:bCs/>
          <w:sz w:val="24"/>
          <w:szCs w:val="24"/>
        </w:rPr>
        <w:t xml:space="preserve">              </w:t>
      </w:r>
      <w:r w:rsidRPr="00F503D7">
        <w:rPr>
          <w:rFonts w:ascii="Book Antiqua" w:hAnsi="Book Antiqua" w:cstheme="majorBidi"/>
          <w:sz w:val="24"/>
          <w:szCs w:val="24"/>
        </w:rPr>
        <w:t>Penelitian ini membahas tentang perkawinan yang tidak selalu berjalan dengan mulus, yang mana setiap rumah tangga pasti memiliki permasalahan. Sehingga hal tersebut menimbulkan suatu konflik yang bertujuan dengan perceraian. Salah satu penyebab perceraian adalah perbedaan keyakinan, terutama jika salah satu pasangan berpindah agama setelah menikah. Hal ini menimbulkan persoalan hukum baru, khususnya terkait hak asuh anak. Masalah semakin kompleks ketika ibu yang mendapatkan hak asuh ternyata murtad, seperti dalam Putusan PA Parigi No. 0117/Pdt.G/2016/PA.PRGI. Putusan tersebut memicu kontroversi karena dianggap bertentangan dengan prinsip kesamaan agama dalam KHI, meskipun hakim mengutamakan kepentingan terbaik anak. Oleh karena itu, perlu dianalisis lebih lanjut implikasi yuridis dari putusan tersebut berdasarkan hukum Islam, hukum nasional, dan perlindungan hak anak.</w:t>
      </w:r>
      <w:r w:rsidR="006E3BBF" w:rsidRPr="00F503D7">
        <w:rPr>
          <w:rFonts w:ascii="Book Antiqua" w:hAnsi="Book Antiqua" w:cstheme="majorBidi"/>
          <w:sz w:val="24"/>
          <w:szCs w:val="24"/>
        </w:rPr>
        <w:t xml:space="preserve"> Penelitian ini bertujuan untuk menganalisis implikasi yuridis pemberian hak asuh anak kepada ibu yang murtad terhadap pendidikan agama anak, serta mengkaji pertimbangan hukum hakim dalam putusan tersebut berdasarkan hukum positif di Indonesia, termasuk UU Perkawinan, UU Perlindungan Anak, KHI, Sistem Pendidikan Nasional, dan yurisprudensi terkait. Kajian ini menerapkan metode hukum normatif dengan pendekatan perundang-undangan, kasus, dan konseptual. Analisis difokuskan pada norma hukum positif, prinsip hukum Islam, dan kerangka perlindungan anak, menggunakan data dari studi pustaka, putusan pengadilan, dan peraturan terkait. Hasil Penelitian menyimpulkan bahwa hak asuh kepada ibu murtad berpotensi mengganggu pendidikan agama anak. Putusan hakim belum mempertimbangkan norma hukum positif, perlindungan akidah, dan sistem pendidikan nasional secara utuh, sehingga belum menjamin hak pendidikan agama anak.</w:t>
      </w:r>
    </w:p>
    <w:p w14:paraId="53721D80" w14:textId="10E35207" w:rsidR="006E3BBF" w:rsidRPr="00F503D7" w:rsidRDefault="006E3BBF" w:rsidP="00D30C69">
      <w:pPr>
        <w:spacing w:line="240" w:lineRule="auto"/>
        <w:rPr>
          <w:rFonts w:ascii="Book Antiqua" w:hAnsi="Book Antiqua" w:cstheme="majorBidi"/>
          <w:sz w:val="24"/>
          <w:szCs w:val="24"/>
        </w:rPr>
      </w:pPr>
      <w:r w:rsidRPr="00F503D7">
        <w:rPr>
          <w:rFonts w:ascii="Book Antiqua" w:hAnsi="Book Antiqua" w:cstheme="majorBidi"/>
          <w:b/>
          <w:bCs/>
          <w:sz w:val="24"/>
          <w:szCs w:val="24"/>
        </w:rPr>
        <w:t>KataKunci:</w:t>
      </w:r>
      <w:r w:rsidRPr="00F503D7">
        <w:rPr>
          <w:rFonts w:ascii="Book Antiqua" w:hAnsi="Book Antiqua" w:cstheme="majorBidi"/>
          <w:sz w:val="24"/>
          <w:szCs w:val="24"/>
        </w:rPr>
        <w:t>Perkawinan, Perceraian, Hak Asuh Anak, Beda Agama, Keputusan Hakim.</w:t>
      </w:r>
    </w:p>
    <w:p w14:paraId="2196559C" w14:textId="64126ABE" w:rsidR="006E3BBF" w:rsidRPr="00F503D7" w:rsidRDefault="006E3BBF" w:rsidP="00D30C69">
      <w:pPr>
        <w:spacing w:line="240" w:lineRule="auto"/>
        <w:rPr>
          <w:rFonts w:ascii="Book Antiqua" w:hAnsi="Book Antiqua" w:cstheme="majorBidi"/>
          <w:b/>
          <w:bCs/>
          <w:i/>
          <w:iCs/>
          <w:sz w:val="24"/>
          <w:szCs w:val="24"/>
        </w:rPr>
      </w:pPr>
      <w:r w:rsidRPr="00F503D7">
        <w:rPr>
          <w:rFonts w:ascii="Book Antiqua" w:hAnsi="Book Antiqua" w:cstheme="majorBidi"/>
          <w:sz w:val="24"/>
          <w:szCs w:val="24"/>
        </w:rPr>
        <w:tab/>
      </w:r>
      <w:r w:rsidRPr="00F503D7">
        <w:rPr>
          <w:rFonts w:ascii="Book Antiqua" w:hAnsi="Book Antiqua" w:cstheme="majorBidi"/>
          <w:sz w:val="24"/>
          <w:szCs w:val="24"/>
        </w:rPr>
        <w:tab/>
      </w:r>
      <w:r w:rsidRPr="00F503D7">
        <w:rPr>
          <w:rFonts w:ascii="Book Antiqua" w:hAnsi="Book Antiqua" w:cstheme="majorBidi"/>
          <w:sz w:val="24"/>
          <w:szCs w:val="24"/>
        </w:rPr>
        <w:tab/>
      </w:r>
      <w:r w:rsidRPr="00F503D7">
        <w:rPr>
          <w:rFonts w:ascii="Book Antiqua" w:hAnsi="Book Antiqua" w:cstheme="majorBidi"/>
          <w:sz w:val="24"/>
          <w:szCs w:val="24"/>
        </w:rPr>
        <w:tab/>
      </w:r>
      <w:r w:rsidRPr="00F503D7">
        <w:rPr>
          <w:rFonts w:ascii="Book Antiqua" w:hAnsi="Book Antiqua" w:cstheme="majorBidi"/>
          <w:sz w:val="24"/>
          <w:szCs w:val="24"/>
        </w:rPr>
        <w:tab/>
      </w:r>
      <w:r w:rsidRPr="00F503D7">
        <w:rPr>
          <w:rFonts w:ascii="Book Antiqua" w:hAnsi="Book Antiqua" w:cstheme="majorBidi"/>
          <w:sz w:val="24"/>
          <w:szCs w:val="24"/>
        </w:rPr>
        <w:tab/>
      </w:r>
      <w:r w:rsidRPr="00F503D7">
        <w:rPr>
          <w:rFonts w:ascii="Book Antiqua" w:hAnsi="Book Antiqua" w:cstheme="majorBidi"/>
          <w:b/>
          <w:bCs/>
          <w:i/>
          <w:iCs/>
          <w:sz w:val="24"/>
          <w:szCs w:val="24"/>
        </w:rPr>
        <w:t>Abstract</w:t>
      </w:r>
    </w:p>
    <w:p w14:paraId="3195DF94" w14:textId="7BCEA37E" w:rsidR="006E3BBF" w:rsidRPr="00F503D7" w:rsidRDefault="006E3BBF" w:rsidP="006E3BBF">
      <w:pPr>
        <w:spacing w:line="360" w:lineRule="auto"/>
        <w:rPr>
          <w:rFonts w:ascii="Book Antiqua" w:hAnsi="Book Antiqua" w:cstheme="majorBidi"/>
          <w:i/>
          <w:iCs/>
          <w:sz w:val="24"/>
          <w:szCs w:val="24"/>
        </w:rPr>
      </w:pPr>
      <w:r w:rsidRPr="00F503D7">
        <w:rPr>
          <w:rFonts w:ascii="Book Antiqua" w:hAnsi="Book Antiqua" w:cstheme="majorBidi"/>
          <w:b/>
          <w:bCs/>
          <w:i/>
          <w:iCs/>
          <w:sz w:val="24"/>
          <w:szCs w:val="24"/>
        </w:rPr>
        <w:t xml:space="preserve">  </w:t>
      </w:r>
      <w:r w:rsidRPr="00F503D7">
        <w:rPr>
          <w:rFonts w:ascii="Book Antiqua" w:hAnsi="Book Antiqua" w:cstheme="majorBidi"/>
          <w:i/>
          <w:iCs/>
          <w:sz w:val="24"/>
          <w:szCs w:val="24"/>
        </w:rPr>
        <w:t>This study discusses marriages that do not always run smoothly, where every household inevitably has problems. This leads to conflict that leads to divorce. One of the causes of divorce is differences in faith, especially if one partner changes religion after marriage. This raises new legal issues, particularly regarding child custody. The problem becomes more complex when the mother who received custody turns out to be an apostate, as in the Parigi District Court Decision No. 0117/Pdt.G/2016/PA.PRGI. The decision sparked controversy because it was considered contrary to the principle of religious equality in the Compilation of Islamic Law (KHI), even though the judge prioritized the best interests of the child. Therefore, it is necessary to further analyze the legal implications of this decision based on Islamic law, national law, and the protection of children's rights. This study aims to analyze the legal implications of granting child custody to an apostate mother on the child's religious education, as well as examine the judge's legal considerations in this decision based on positive law in Indonesia, including the Marriage Law, the Child Protection Law, the Compilation of Islamic Law (KHI), the National Education System, and related jurisprudence. This study applies normative legal methods with statutory, case-based, and conceptual approaches. The analysis focuses on positive legal norms, Islamic legal principles, and child protection frameworks, using data from literature, court decisions, and relevant regulations. The study concludes that custody of apostate mothers has the potential to disrupt children's religious education. The judge's decision fails to fully consider positive legal norms, the protection of faith, and the national education system, thus failing to guarantee children's right to religious education.</w:t>
      </w:r>
    </w:p>
    <w:p w14:paraId="6377E850" w14:textId="5D654C12" w:rsidR="006E3BBF" w:rsidRDefault="006E3BBF" w:rsidP="006E3BBF">
      <w:pPr>
        <w:spacing w:line="360" w:lineRule="auto"/>
        <w:rPr>
          <w:rFonts w:ascii="Book Antiqua" w:hAnsi="Book Antiqua" w:cstheme="majorBidi"/>
          <w:i/>
          <w:iCs/>
          <w:sz w:val="24"/>
          <w:szCs w:val="24"/>
        </w:rPr>
      </w:pPr>
      <w:r w:rsidRPr="00F503D7">
        <w:rPr>
          <w:rFonts w:ascii="Book Antiqua" w:hAnsi="Book Antiqua" w:cstheme="majorBidi"/>
          <w:b/>
          <w:bCs/>
          <w:i/>
          <w:iCs/>
          <w:sz w:val="24"/>
          <w:szCs w:val="24"/>
        </w:rPr>
        <w:t>Keywords</w:t>
      </w:r>
      <w:r w:rsidRPr="00F503D7">
        <w:rPr>
          <w:rFonts w:ascii="Book Antiqua" w:hAnsi="Book Antiqua" w:cstheme="majorBidi"/>
          <w:i/>
          <w:iCs/>
          <w:sz w:val="24"/>
          <w:szCs w:val="24"/>
        </w:rPr>
        <w:t>: Marriage, Divorce, Child Custody, Different Religions, Judge's Decis</w:t>
      </w:r>
    </w:p>
    <w:p w14:paraId="122427B5" w14:textId="662C2ABA" w:rsidR="00F503D7" w:rsidRDefault="00F503D7" w:rsidP="006E3BBF">
      <w:pPr>
        <w:spacing w:line="360" w:lineRule="auto"/>
        <w:rPr>
          <w:rFonts w:ascii="Book Antiqua" w:hAnsi="Book Antiqua" w:cstheme="majorBidi"/>
          <w:i/>
          <w:iCs/>
          <w:sz w:val="24"/>
          <w:szCs w:val="24"/>
        </w:rPr>
      </w:pPr>
    </w:p>
    <w:p w14:paraId="47700AC5" w14:textId="77777777" w:rsidR="00103FC0" w:rsidRDefault="00103FC0" w:rsidP="006E3BBF">
      <w:pPr>
        <w:spacing w:line="360" w:lineRule="auto"/>
        <w:rPr>
          <w:rFonts w:ascii="Book Antiqua" w:hAnsi="Book Antiqua" w:cstheme="majorBidi"/>
          <w:i/>
          <w:iCs/>
          <w:sz w:val="24"/>
          <w:szCs w:val="24"/>
        </w:rPr>
      </w:pPr>
    </w:p>
    <w:p w14:paraId="6AED2504" w14:textId="77777777" w:rsidR="00F503D7" w:rsidRPr="00F503D7" w:rsidRDefault="00F503D7" w:rsidP="006E3BBF">
      <w:pPr>
        <w:spacing w:line="360" w:lineRule="auto"/>
        <w:rPr>
          <w:rFonts w:ascii="Book Antiqua" w:hAnsi="Book Antiqua" w:cstheme="majorBidi"/>
          <w:i/>
          <w:iCs/>
          <w:sz w:val="24"/>
          <w:szCs w:val="24"/>
        </w:rPr>
      </w:pPr>
    </w:p>
    <w:p w14:paraId="177AA7F9" w14:textId="77777777" w:rsidR="006E3BBF" w:rsidRPr="00F503D7" w:rsidRDefault="006E3BBF" w:rsidP="00F6041F">
      <w:pPr>
        <w:spacing w:after="0" w:line="211" w:lineRule="auto"/>
        <w:ind w:left="139" w:right="3392"/>
        <w:rPr>
          <w:rFonts w:ascii="Book Antiqua" w:hAnsi="Book Antiqua"/>
          <w:b/>
          <w:sz w:val="24"/>
          <w:szCs w:val="24"/>
        </w:rPr>
      </w:pPr>
      <w:r w:rsidRPr="00F503D7">
        <w:rPr>
          <w:rFonts w:ascii="Book Antiqua" w:hAnsi="Book Antiqua"/>
          <w:b/>
          <w:sz w:val="24"/>
          <w:szCs w:val="24"/>
        </w:rPr>
        <w:t>PENDAHULUAN</w:t>
      </w:r>
    </w:p>
    <w:p w14:paraId="578AB5D3" w14:textId="77777777" w:rsidR="006E3BBF" w:rsidRPr="00F503D7" w:rsidRDefault="006E3BBF" w:rsidP="00F6041F">
      <w:pPr>
        <w:spacing w:after="0" w:line="211" w:lineRule="auto"/>
        <w:ind w:left="139" w:right="3392"/>
        <w:rPr>
          <w:rFonts w:ascii="Book Antiqua" w:hAnsi="Book Antiqua"/>
          <w:b/>
          <w:sz w:val="24"/>
          <w:szCs w:val="24"/>
        </w:rPr>
      </w:pPr>
      <w:r w:rsidRPr="00F503D7">
        <w:rPr>
          <w:rFonts w:ascii="Book Antiqua" w:hAnsi="Book Antiqua"/>
          <w:b/>
          <w:sz w:val="24"/>
          <w:szCs w:val="24"/>
        </w:rPr>
        <w:t>Latar Belakang</w:t>
      </w:r>
    </w:p>
    <w:p w14:paraId="25F6D866" w14:textId="77777777" w:rsidR="00F6041F" w:rsidRPr="00F503D7" w:rsidRDefault="00F6041F" w:rsidP="00F6041F">
      <w:pPr>
        <w:spacing w:line="360" w:lineRule="auto"/>
        <w:ind w:firstLine="139"/>
        <w:rPr>
          <w:rFonts w:ascii="Book Antiqua" w:hAnsi="Book Antiqua" w:cstheme="majorBidi"/>
          <w:sz w:val="24"/>
          <w:szCs w:val="24"/>
        </w:rPr>
      </w:pPr>
      <w:r w:rsidRPr="00F503D7">
        <w:rPr>
          <w:rFonts w:ascii="Book Antiqua" w:hAnsi="Book Antiqua" w:cstheme="majorBidi"/>
          <w:sz w:val="24"/>
          <w:szCs w:val="24"/>
        </w:rPr>
        <w:t xml:space="preserve">     Menurut Undang-Undang Perkawinan Nomor 1 tahun 1974, "Perkawinan adalah suatu ikatan lahir batin antara seorang pria dan seorang wanita sebagai suami isteri dengan tujuan untuk membentuk sebuah keluarga (rumah tangga) yang kekal berdasarkan Ketuhanan Yang Maha Esa.” Pasti, setiap pasangan menikah bercita-cita memiliki keturunan untuk meneruskan garis keluarga dan mempererat keharmonisan rumah tangga.  Namun kenyataannya, seringkali perkawinan dihadapkan pada berbagai permasalahan yang berujung pada putusnya hubungan perkawinan atau perpisahan atau perceraian. Perbedaan keyakinan dapat menyebabkan ketidakcocokan dalam perkawinan. Banyak pasangan yang awalnya menyetujui pindah agama saat menikah dan hanya ingin mengikuti keyakinan salah satu pasangannya. Namun jika mereka telah menikah maka mereka akan kembali pada keyakinannya semula, sehingga dapat memicu atau menimbulkan konflik antara suami dan istri yang dapat berujung pada perpisahan atau perceraian.</w:t>
      </w:r>
    </w:p>
    <w:p w14:paraId="44C98BDF" w14:textId="33B6DBCE" w:rsidR="00F6041F" w:rsidRPr="00F503D7" w:rsidRDefault="00F6041F" w:rsidP="00F6041F">
      <w:pPr>
        <w:spacing w:line="360" w:lineRule="auto"/>
        <w:ind w:firstLine="139"/>
        <w:rPr>
          <w:rFonts w:ascii="Book Antiqua" w:hAnsi="Book Antiqua" w:cstheme="majorBidi"/>
          <w:sz w:val="24"/>
          <w:szCs w:val="24"/>
        </w:rPr>
      </w:pPr>
      <w:r w:rsidRPr="00F503D7">
        <w:rPr>
          <w:rFonts w:ascii="Book Antiqua" w:hAnsi="Book Antiqua" w:cstheme="majorBidi"/>
          <w:sz w:val="24"/>
          <w:szCs w:val="24"/>
        </w:rPr>
        <w:t xml:space="preserve"> Konsekuensi legal perceraian dengan anak berpusat pada hak asuh. Menurut Pasal 41 huruf (a) Undang-Undang Nomor 1 tahun 1974 tentang Perkawinan, "akibat putusnya perkawinan akibat perceraian, baik ibu atau bapak berkewajiban untuk memelihara dan mendidik anak-anaknya, semata-mata berdasarkan kepentingan anak; bilamana ada perselisihan mengenai penguasaan anak-anak, pengadilan memberi keputusannya.”.  Jika perselisihan mengenai hak asuh muncul setelah perceraian, masalah ini dapat diselesaikan di pengadilan.</w:t>
      </w:r>
      <w:r w:rsidRPr="00F503D7">
        <w:rPr>
          <w:rFonts w:ascii="Book Antiqua" w:hAnsi="Book Antiqua"/>
          <w:sz w:val="24"/>
          <w:szCs w:val="24"/>
        </w:rPr>
        <w:t xml:space="preserve"> </w:t>
      </w:r>
      <w:r w:rsidRPr="00F503D7">
        <w:rPr>
          <w:rFonts w:ascii="Book Antiqua" w:hAnsi="Book Antiqua" w:cstheme="majorBidi"/>
          <w:sz w:val="24"/>
          <w:szCs w:val="24"/>
        </w:rPr>
        <w:t xml:space="preserve">Putusan Pengadilan Agama Parigi No. 0117/Pdt.G/2016/PA.Prgi merupakan kasus kontroversial dalam perkara hadhanah (hak asuh) yang melibatkan pasangan beda agama. Putusan tersebut menetapkan hak asuh anak di bawah umur kepada ibu, meskipun terjadi perubahan keyakinan (murtad) pada pihak ibu. Pertimbangan utama hakim adalah bahwa anak tersebut masih berada pada masa perkembangan awal yang membutuhkan peran dominan seorang ibu secara fisik maupun emosional. </w:t>
      </w:r>
    </w:p>
    <w:p w14:paraId="75ACABE2" w14:textId="714CDF8A" w:rsidR="00F6041F" w:rsidRPr="00F503D7" w:rsidRDefault="00F6041F" w:rsidP="00F6041F">
      <w:pPr>
        <w:spacing w:line="360" w:lineRule="auto"/>
        <w:ind w:firstLine="139"/>
        <w:rPr>
          <w:rFonts w:ascii="Book Antiqua" w:hAnsi="Book Antiqua" w:cstheme="majorBidi"/>
          <w:sz w:val="24"/>
          <w:szCs w:val="24"/>
        </w:rPr>
      </w:pPr>
      <w:r w:rsidRPr="00F503D7">
        <w:rPr>
          <w:rFonts w:ascii="Book Antiqua" w:hAnsi="Book Antiqua" w:cstheme="majorBidi"/>
          <w:sz w:val="24"/>
          <w:szCs w:val="24"/>
        </w:rPr>
        <w:t xml:space="preserve"> Namun, putusan tersebut dikritik oleh berbagai pihak karena bertentangan dengan yurisprudensi Mahkamah Agung, yang cenderung tidak memberikan hak asuh kepada orang tua yang telah keluar dari agama Islam. Putusan Mahkamah Agung No. 210 K/AG/1996 menetapkan bahwa ibu yang telah meninggalkan Islam tidak lagi memenuhi syarat sebagai wali (hadhinah), dengan pertimbangan adanya kekhawatiran ia dapat memengaruhi akidah anak. Anak usia di bawah tujuh tahun berada dalam fase perkembangan kognitif dan emosional yang sangat krusial. Menurut UU No. 20 Tahun 2003 tentang Sisdiknas, anak usia dini wajib memperoleh stimulasi optimal demi pertumbuhan dan perkembangan jasmani dan rohani mereka.  Kontribusi orang tua penting bagi pembentukan agama anak. Berdasarkan Pasal 12 ayat (1) UU Sisdiknas, pendidikan agama wajib diberikan oleh pendidik seagama. Hal ini menimbulkan pertanyaan mengenai optimalisasi hak pendidikan agama Islam anak yang diasuh oleh ibu yang murtad.</w:t>
      </w:r>
    </w:p>
    <w:p w14:paraId="2D28B1F0" w14:textId="2159CEF0" w:rsidR="00F6041F" w:rsidRPr="00F503D7" w:rsidRDefault="00F6041F" w:rsidP="00F6041F">
      <w:pPr>
        <w:spacing w:line="360" w:lineRule="auto"/>
        <w:ind w:firstLine="139"/>
        <w:rPr>
          <w:rFonts w:ascii="Book Antiqua" w:hAnsi="Book Antiqua" w:cstheme="majorBidi"/>
          <w:sz w:val="24"/>
          <w:szCs w:val="24"/>
        </w:rPr>
      </w:pPr>
      <w:r w:rsidRPr="00F503D7">
        <w:rPr>
          <w:rFonts w:ascii="Book Antiqua" w:hAnsi="Book Antiqua" w:cstheme="majorBidi"/>
          <w:sz w:val="24"/>
          <w:szCs w:val="24"/>
        </w:rPr>
        <w:t>Berdasarkan uraian di atas, dapat dirumuskan permasalahannya sebagaai berikut:</w:t>
      </w:r>
    </w:p>
    <w:p w14:paraId="5D920596" w14:textId="77777777" w:rsidR="00F6041F" w:rsidRPr="00F503D7" w:rsidRDefault="00F6041F" w:rsidP="00F6041F">
      <w:pPr>
        <w:pStyle w:val="DaftarParagraf"/>
        <w:numPr>
          <w:ilvl w:val="0"/>
          <w:numId w:val="1"/>
        </w:numPr>
        <w:spacing w:line="360" w:lineRule="auto"/>
        <w:jc w:val="both"/>
        <w:rPr>
          <w:rFonts w:ascii="Book Antiqua" w:hAnsi="Book Antiqua" w:cstheme="majorBidi"/>
          <w:sz w:val="24"/>
          <w:szCs w:val="24"/>
        </w:rPr>
      </w:pPr>
      <w:r w:rsidRPr="00F503D7">
        <w:rPr>
          <w:rFonts w:ascii="Book Antiqua" w:hAnsi="Book Antiqua" w:cstheme="majorBidi"/>
          <w:sz w:val="24"/>
          <w:szCs w:val="24"/>
        </w:rPr>
        <w:t>Bagaimanakah Implikasi Putusan Hakim Yang Memberikan Hak Asuh Anak Sampai Dengan Usia 7 Tahun Kepada Ibu Murtad Dalam Pendidikan Anak Mengenal Agama?</w:t>
      </w:r>
    </w:p>
    <w:p w14:paraId="45ED4254" w14:textId="070186DA" w:rsidR="00F6041F" w:rsidRPr="00F503D7" w:rsidRDefault="00F6041F" w:rsidP="00F6041F">
      <w:pPr>
        <w:pStyle w:val="DaftarParagraf"/>
        <w:numPr>
          <w:ilvl w:val="0"/>
          <w:numId w:val="1"/>
        </w:numPr>
        <w:spacing w:line="360" w:lineRule="auto"/>
        <w:jc w:val="both"/>
        <w:rPr>
          <w:rFonts w:ascii="Book Antiqua" w:hAnsi="Book Antiqua" w:cstheme="majorBidi"/>
          <w:sz w:val="24"/>
          <w:szCs w:val="24"/>
        </w:rPr>
      </w:pPr>
      <w:r w:rsidRPr="00F503D7">
        <w:rPr>
          <w:rFonts w:ascii="Book Antiqua" w:hAnsi="Book Antiqua" w:cstheme="majorBidi"/>
          <w:sz w:val="24"/>
          <w:szCs w:val="24"/>
        </w:rPr>
        <w:t xml:space="preserve">Bagaimana Pertimbangan Hukum Hakim Dalam Putusan PA PARIGI NO. 0117/PDT.G/2016/PA.PRGI Yang Memutuskan Hak Asuh Anak Kepada Ibu Murtad Sampai Usia 7 Tahun Dikaitkan Dengan Pendidikan Anak Mengenal Agama Berdasarkan Sistem Pendidikan Nasional? </w:t>
      </w:r>
    </w:p>
    <w:p w14:paraId="101BB83B" w14:textId="0B2E41C8" w:rsidR="004C3FB5" w:rsidRPr="00F503D7" w:rsidRDefault="004C3FB5" w:rsidP="004C3FB5">
      <w:pPr>
        <w:ind w:left="851" w:firstLine="360"/>
        <w:jc w:val="both"/>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 xml:space="preserve">Penelitian </w:t>
      </w:r>
      <w:r w:rsidRPr="00F503D7">
        <w:rPr>
          <w:rFonts w:ascii="Book Antiqua" w:eastAsia="Times New Roman" w:hAnsi="Book Antiqua" w:cstheme="majorBidi"/>
          <w:sz w:val="24"/>
          <w:szCs w:val="24"/>
          <w:lang w:val="nb-NO" w:eastAsia="en-ID"/>
        </w:rPr>
        <w:t>ini menggunakan penelitian hukum normatif berbasis data sekunder/literatur. Hukuman positif, prinsip hukum Islam, dan prinsip perlindungan anak dalam undang-undang dan yurisprudensi adalah objeknya.</w:t>
      </w:r>
      <w:r w:rsidRPr="00F503D7">
        <w:rPr>
          <w:rFonts w:ascii="Book Antiqua" w:eastAsia="Times New Roman" w:hAnsi="Book Antiqua" w:cstheme="majorBidi"/>
          <w:sz w:val="24"/>
          <w:szCs w:val="24"/>
          <w:lang w:eastAsia="en-ID"/>
        </w:rPr>
        <w:t xml:space="preserve"> Pendekatan hukum normatif digunakan dalam penelitian ini untuk memeriksa standar dan peraturan hukum yang berlaku, serta bagaimana ketentuan tersebut diterapkan pada kasus tertentu. Peter Mahmud Marzuki mengidentifikasi lima pendekatan utama dalam penelitian hukum, yaitu:</w:t>
      </w:r>
    </w:p>
    <w:p w14:paraId="12776EC0" w14:textId="77777777" w:rsidR="004C3FB5" w:rsidRPr="00F503D7" w:rsidRDefault="004C3FB5" w:rsidP="004C3FB5">
      <w:pPr>
        <w:ind w:left="851" w:firstLine="360"/>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1.</w:t>
      </w:r>
      <w:r w:rsidRPr="00F503D7">
        <w:rPr>
          <w:rFonts w:ascii="Book Antiqua" w:eastAsia="Times New Roman" w:hAnsi="Book Antiqua" w:cstheme="majorBidi"/>
          <w:sz w:val="24"/>
          <w:szCs w:val="24"/>
          <w:lang w:eastAsia="en-ID"/>
        </w:rPr>
        <w:tab/>
        <w:t>Pendekatan perundang-undangan (statute approach);</w:t>
      </w:r>
    </w:p>
    <w:p w14:paraId="0AE081E3" w14:textId="77777777" w:rsidR="004C3FB5" w:rsidRPr="00F503D7" w:rsidRDefault="004C3FB5" w:rsidP="004C3FB5">
      <w:pPr>
        <w:ind w:left="851" w:firstLine="360"/>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2.</w:t>
      </w:r>
      <w:r w:rsidRPr="00F503D7">
        <w:rPr>
          <w:rFonts w:ascii="Book Antiqua" w:eastAsia="Times New Roman" w:hAnsi="Book Antiqua" w:cstheme="majorBidi"/>
          <w:sz w:val="24"/>
          <w:szCs w:val="24"/>
          <w:lang w:eastAsia="en-ID"/>
        </w:rPr>
        <w:tab/>
        <w:t>Pendekatan kasus (case approach);</w:t>
      </w:r>
    </w:p>
    <w:p w14:paraId="61E3958A" w14:textId="77777777" w:rsidR="004C3FB5" w:rsidRPr="00F503D7" w:rsidRDefault="004C3FB5" w:rsidP="004C3FB5">
      <w:pPr>
        <w:ind w:left="851" w:firstLine="360"/>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3.</w:t>
      </w:r>
      <w:r w:rsidRPr="00F503D7">
        <w:rPr>
          <w:rFonts w:ascii="Book Antiqua" w:eastAsia="Times New Roman" w:hAnsi="Book Antiqua" w:cstheme="majorBidi"/>
          <w:sz w:val="24"/>
          <w:szCs w:val="24"/>
          <w:lang w:eastAsia="en-ID"/>
        </w:rPr>
        <w:tab/>
        <w:t>Pendekatan konseptual (conceptual approach);</w:t>
      </w:r>
    </w:p>
    <w:p w14:paraId="72ECB22F" w14:textId="77777777" w:rsidR="004C3FB5" w:rsidRPr="00F503D7" w:rsidRDefault="004C3FB5" w:rsidP="004C3FB5">
      <w:pPr>
        <w:ind w:left="851" w:firstLine="360"/>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4.</w:t>
      </w:r>
      <w:r w:rsidRPr="00F503D7">
        <w:rPr>
          <w:rFonts w:ascii="Book Antiqua" w:eastAsia="Times New Roman" w:hAnsi="Book Antiqua" w:cstheme="majorBidi"/>
          <w:sz w:val="24"/>
          <w:szCs w:val="24"/>
          <w:lang w:eastAsia="en-ID"/>
        </w:rPr>
        <w:tab/>
        <w:t>Pendekatan sejarah (historical approach); dan</w:t>
      </w:r>
    </w:p>
    <w:p w14:paraId="7D7CBA38" w14:textId="77777777" w:rsidR="004C3FB5" w:rsidRPr="00F503D7" w:rsidRDefault="004C3FB5" w:rsidP="004C3FB5">
      <w:pPr>
        <w:ind w:left="851" w:firstLine="360"/>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5.</w:t>
      </w:r>
      <w:r w:rsidRPr="00F503D7">
        <w:rPr>
          <w:rFonts w:ascii="Book Antiqua" w:eastAsia="Times New Roman" w:hAnsi="Book Antiqua" w:cstheme="majorBidi"/>
          <w:sz w:val="24"/>
          <w:szCs w:val="24"/>
          <w:lang w:eastAsia="en-ID"/>
        </w:rPr>
        <w:tab/>
        <w:t>Pendekatan perbandingan (comparative approach).</w:t>
      </w:r>
    </w:p>
    <w:p w14:paraId="3500EE01" w14:textId="3109DF7C" w:rsidR="004C3FB5" w:rsidRPr="00F503D7" w:rsidRDefault="004C3FB5" w:rsidP="004C3FB5">
      <w:pPr>
        <w:ind w:left="851" w:firstLine="360"/>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Dalam penelitian ini, penulis menggunakan tiga pendekatan utama:</w:t>
      </w:r>
    </w:p>
    <w:p w14:paraId="7FB77959" w14:textId="77777777" w:rsidR="004C3FB5" w:rsidRPr="00F503D7" w:rsidRDefault="004C3FB5" w:rsidP="004C3FB5">
      <w:pPr>
        <w:ind w:left="851" w:firstLine="360"/>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1.</w:t>
      </w:r>
      <w:r w:rsidRPr="00F503D7">
        <w:rPr>
          <w:rFonts w:ascii="Book Antiqua" w:eastAsia="Times New Roman" w:hAnsi="Book Antiqua" w:cstheme="majorBidi"/>
          <w:sz w:val="24"/>
          <w:szCs w:val="24"/>
          <w:lang w:eastAsia="en-ID"/>
        </w:rPr>
        <w:tab/>
        <w:t>Pendekatan perundang-undangan melibatkan analisis terhadap ketentuan dari UU No. 1/1974 (Perkawinan), UU No. 35/2014 (Perlindungan Anak), Kompilasi Hukum Islam (KHI), dan UU No. 20/2003 (Sistem Pendidikan Nasional).</w:t>
      </w:r>
    </w:p>
    <w:p w14:paraId="3CB73522" w14:textId="77777777" w:rsidR="004C3FB5" w:rsidRPr="00F503D7" w:rsidRDefault="004C3FB5" w:rsidP="004C3FB5">
      <w:pPr>
        <w:ind w:left="851" w:firstLine="360"/>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2.</w:t>
      </w:r>
      <w:r w:rsidRPr="00F503D7">
        <w:rPr>
          <w:rFonts w:ascii="Book Antiqua" w:eastAsia="Times New Roman" w:hAnsi="Book Antiqua" w:cstheme="majorBidi"/>
          <w:sz w:val="24"/>
          <w:szCs w:val="24"/>
          <w:lang w:eastAsia="en-ID"/>
        </w:rPr>
        <w:tab/>
        <w:t>Pendekatan kasus melibatkan analisis terhadap Putusan Pengadilan Agama Parigi No. 0117/Pdt.G/2016/PA.PRGI dan perbandingan dengan yurisprudensi Mahkamah Agung No. 210 K/AG/1996.</w:t>
      </w:r>
    </w:p>
    <w:p w14:paraId="5B7E1F1C" w14:textId="77777777" w:rsidR="004C3FB5" w:rsidRPr="00F503D7" w:rsidRDefault="004C3FB5" w:rsidP="004C3FB5">
      <w:pPr>
        <w:ind w:left="851" w:firstLine="360"/>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3.</w:t>
      </w:r>
      <w:r w:rsidRPr="00F503D7">
        <w:rPr>
          <w:rFonts w:ascii="Book Antiqua" w:eastAsia="Times New Roman" w:hAnsi="Book Antiqua" w:cstheme="majorBidi"/>
          <w:sz w:val="24"/>
          <w:szCs w:val="24"/>
          <w:lang w:eastAsia="en-ID"/>
        </w:rPr>
        <w:tab/>
        <w:t>Pendekatan konseptual, yaitu memakai teori best interest of the child, maqasid syariah, dan teori legal reasoning hakim.</w:t>
      </w:r>
    </w:p>
    <w:p w14:paraId="609F0447" w14:textId="4134CA19" w:rsidR="004C3FB5" w:rsidRPr="00F503D7" w:rsidRDefault="004C3FB5" w:rsidP="004C3FB5">
      <w:pPr>
        <w:ind w:left="851" w:firstLine="360"/>
        <w:jc w:val="both"/>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Dengan pendekatan ini, diharapkan analisis dapat lebih komprehensif, tidak hanya melihat teks hukum, tetapi juga nilai dan tujuan hukum.</w:t>
      </w:r>
    </w:p>
    <w:p w14:paraId="2139EDA9" w14:textId="465F384C" w:rsidR="004C3FB5" w:rsidRPr="00F503D7" w:rsidRDefault="004C3FB5" w:rsidP="004C3FB5">
      <w:pPr>
        <w:ind w:left="851" w:firstLine="360"/>
        <w:jc w:val="both"/>
        <w:rPr>
          <w:rFonts w:ascii="Book Antiqua" w:eastAsia="Times New Roman" w:hAnsi="Book Antiqua" w:cstheme="majorBidi"/>
          <w:sz w:val="24"/>
          <w:szCs w:val="24"/>
          <w:lang w:eastAsia="en-ID"/>
        </w:rPr>
      </w:pPr>
    </w:p>
    <w:p w14:paraId="4DFF9586" w14:textId="280F0437" w:rsidR="004C3FB5" w:rsidRPr="00F503D7" w:rsidRDefault="004C3FB5" w:rsidP="004C3FB5">
      <w:pPr>
        <w:ind w:left="851" w:firstLine="360"/>
        <w:jc w:val="both"/>
        <w:rPr>
          <w:rFonts w:ascii="Book Antiqua" w:eastAsia="Times New Roman" w:hAnsi="Book Antiqua" w:cstheme="majorBidi"/>
          <w:b/>
          <w:bCs/>
          <w:sz w:val="24"/>
          <w:szCs w:val="24"/>
          <w:lang w:eastAsia="en-ID"/>
        </w:rPr>
      </w:pPr>
      <w:r w:rsidRPr="00F503D7">
        <w:rPr>
          <w:rFonts w:ascii="Book Antiqua" w:eastAsia="Times New Roman" w:hAnsi="Book Antiqua" w:cstheme="majorBidi"/>
          <w:b/>
          <w:bCs/>
          <w:sz w:val="24"/>
          <w:szCs w:val="24"/>
          <w:lang w:eastAsia="en-ID"/>
        </w:rPr>
        <w:t>PEMBAHASAN</w:t>
      </w:r>
    </w:p>
    <w:p w14:paraId="7FF484F3" w14:textId="77777777" w:rsidR="00AC4DDD" w:rsidRPr="00F503D7" w:rsidRDefault="00AC4DDD" w:rsidP="00AC4DDD">
      <w:pPr>
        <w:pStyle w:val="DaftarParagraf"/>
        <w:numPr>
          <w:ilvl w:val="0"/>
          <w:numId w:val="2"/>
        </w:numPr>
        <w:rPr>
          <w:rFonts w:ascii="Book Antiqua" w:eastAsia="Times New Roman" w:hAnsi="Book Antiqua" w:cstheme="majorBidi"/>
          <w:b/>
          <w:bCs/>
          <w:sz w:val="24"/>
          <w:szCs w:val="24"/>
          <w:lang w:eastAsia="en-ID"/>
        </w:rPr>
      </w:pPr>
      <w:r w:rsidRPr="00F503D7">
        <w:rPr>
          <w:rFonts w:ascii="Book Antiqua" w:eastAsia="Times New Roman" w:hAnsi="Book Antiqua" w:cstheme="majorBidi"/>
          <w:b/>
          <w:bCs/>
          <w:sz w:val="24"/>
          <w:szCs w:val="24"/>
          <w:lang w:eastAsia="en-ID"/>
        </w:rPr>
        <w:t>Implikasi Putusan Hakim Yang Memberikan Hak Asuh Anak Sampai Dengan Usia 7 Tahun Kepada Ibu Murtad Dalam Pendidikan Anak Mengenal Agama</w:t>
      </w:r>
    </w:p>
    <w:p w14:paraId="3B512D89" w14:textId="77777777" w:rsidR="00AC4DDD" w:rsidRPr="00F503D7" w:rsidRDefault="00AC4DDD" w:rsidP="00E41DAA">
      <w:pPr>
        <w:pStyle w:val="DaftarParagraf"/>
        <w:spacing w:line="360" w:lineRule="auto"/>
        <w:ind w:left="1571"/>
        <w:jc w:val="both"/>
        <w:rPr>
          <w:rFonts w:ascii="Book Antiqua" w:hAnsi="Book Antiqua" w:cs="Times New Roman"/>
          <w:sz w:val="24"/>
          <w:szCs w:val="24"/>
        </w:rPr>
      </w:pPr>
      <w:r w:rsidRPr="00F503D7">
        <w:rPr>
          <w:rFonts w:ascii="Book Antiqua" w:eastAsia="Times New Roman" w:hAnsi="Book Antiqua" w:cstheme="majorBidi"/>
          <w:b/>
          <w:bCs/>
          <w:sz w:val="24"/>
          <w:szCs w:val="24"/>
          <w:lang w:eastAsia="en-ID"/>
        </w:rPr>
        <w:t xml:space="preserve"> </w:t>
      </w:r>
      <w:r w:rsidRPr="00F503D7">
        <w:rPr>
          <w:rFonts w:ascii="Book Antiqua" w:eastAsia="Times New Roman" w:hAnsi="Book Antiqua" w:cstheme="majorBidi"/>
          <w:b/>
          <w:bCs/>
          <w:sz w:val="24"/>
          <w:szCs w:val="24"/>
          <w:lang w:eastAsia="en-ID"/>
        </w:rPr>
        <w:tab/>
      </w:r>
      <w:r w:rsidRPr="00F503D7">
        <w:rPr>
          <w:rFonts w:ascii="Book Antiqua" w:hAnsi="Book Antiqua" w:cs="Times New Roman"/>
          <w:sz w:val="24"/>
          <w:szCs w:val="24"/>
        </w:rPr>
        <w:t>Putusan Pengadilan Agama Parigi Nomor 0117/Pdt.G/2016/PA.PRGI menjadi objek kajian menarik karena menetapkan hak asuh (</w:t>
      </w:r>
      <w:r w:rsidRPr="00F503D7">
        <w:rPr>
          <w:rFonts w:ascii="Book Antiqua" w:hAnsi="Book Antiqua" w:cs="Times New Roman"/>
          <w:i/>
          <w:iCs/>
          <w:sz w:val="24"/>
          <w:szCs w:val="24"/>
        </w:rPr>
        <w:t>hadhanah</w:t>
      </w:r>
      <w:r w:rsidRPr="00F503D7">
        <w:rPr>
          <w:rFonts w:ascii="Book Antiqua" w:hAnsi="Book Antiqua" w:cs="Times New Roman"/>
          <w:sz w:val="24"/>
          <w:szCs w:val="24"/>
        </w:rPr>
        <w:t xml:space="preserve">) anak diberikan kepada ibu yang telah berpindah keyakinan (murtad) dari agama Islam. Dalam konteks hukum keluarga Islam di Indonesia, hal ini menimbulkan perdebatan yuridis dan normatif, sebab kesamaan agama antara anak dan pengasuh merupakan syarat penting sebagaimana ditegaskan dalam Pasal 156 huruf (c) Kompilasi Hukum Islam (KHI) yang menyatakan bahwa hak hadhanah gugur apabila ibu murtad. </w:t>
      </w:r>
    </w:p>
    <w:p w14:paraId="7EA2A436" w14:textId="77777777" w:rsidR="00AC4DDD" w:rsidRPr="00F503D7" w:rsidRDefault="00AC4DDD" w:rsidP="00E41DAA">
      <w:pPr>
        <w:pStyle w:val="DaftarParagraf"/>
        <w:spacing w:line="360" w:lineRule="auto"/>
        <w:ind w:left="1571" w:firstLine="589"/>
        <w:jc w:val="both"/>
        <w:rPr>
          <w:rFonts w:ascii="Book Antiqua" w:hAnsi="Book Antiqua" w:cs="Times New Roman"/>
          <w:sz w:val="24"/>
          <w:szCs w:val="24"/>
        </w:rPr>
      </w:pPr>
      <w:r w:rsidRPr="00F503D7">
        <w:rPr>
          <w:rFonts w:ascii="Book Antiqua" w:hAnsi="Book Antiqua" w:cs="Times New Roman"/>
          <w:sz w:val="24"/>
          <w:szCs w:val="24"/>
        </w:rPr>
        <w:t xml:space="preserve">Perkara ini bermula dari gugatan cerai yang diajukan suami karena perbedaan agama. Istri telah berpindah keyakinan dari Islam, sementara dari perkawinan itu lahir seorang anak perempuan yang belum berusia tujuh tahun. Persoalan utama dalam perkara ini adalah siapa yang paling berhak mendapatkan hak asuh anak setelah perceraian. Secara tekstual, aturan KHI memberikan batasan yang cukup tegas: Ibu yang murtad kehilangan hak hadhanah karena dikhawatirkan dapat mengganggu akidah anaknya. </w:t>
      </w:r>
    </w:p>
    <w:p w14:paraId="3A3D8758" w14:textId="77777777" w:rsidR="00AC4DDD" w:rsidRPr="00F503D7" w:rsidRDefault="00AC4DDD" w:rsidP="00BB4FB8">
      <w:pPr>
        <w:pStyle w:val="DaftarParagraf"/>
        <w:spacing w:line="360" w:lineRule="auto"/>
        <w:ind w:left="1571" w:firstLine="589"/>
        <w:jc w:val="both"/>
        <w:rPr>
          <w:rFonts w:ascii="Book Antiqua" w:hAnsi="Book Antiqua" w:cs="Times New Roman"/>
          <w:b/>
          <w:bCs/>
          <w:sz w:val="24"/>
          <w:szCs w:val="24"/>
        </w:rPr>
      </w:pPr>
      <w:r w:rsidRPr="00F503D7">
        <w:rPr>
          <w:rFonts w:ascii="Book Antiqua" w:hAnsi="Book Antiqua" w:cs="Times New Roman"/>
          <w:sz w:val="24"/>
          <w:szCs w:val="24"/>
        </w:rPr>
        <w:t>Bahkan, Mahkamah Agung dalam Putusan Nomor 210 K/AG/1996 telah menegaskan hal serupa dengan mencabut hak asuh dari ibu yang murtad demi menjaga keberlangsungan pendidikan agama anak. Namun, Majelis Hakim PA Parigi mengambil pendekatan berbeda dengan memberikan hak asuh kepada ibu meskipun telah murtad. Alasannya didasarkan pada prinsip kepentingan terbaik bagi anak (</w:t>
      </w:r>
      <w:r w:rsidRPr="00F503D7">
        <w:rPr>
          <w:rFonts w:ascii="Book Antiqua" w:hAnsi="Book Antiqua" w:cs="Times New Roman"/>
          <w:i/>
          <w:iCs/>
          <w:sz w:val="24"/>
          <w:szCs w:val="24"/>
        </w:rPr>
        <w:t>best interest of the child</w:t>
      </w:r>
      <w:r w:rsidRPr="00F503D7">
        <w:rPr>
          <w:rFonts w:ascii="Book Antiqua" w:hAnsi="Book Antiqua" w:cs="Times New Roman"/>
          <w:sz w:val="24"/>
          <w:szCs w:val="24"/>
        </w:rPr>
        <w:t>), yang memprioritaskan kebutuhan kasih sayang, perawatan, dan kedekatan emosional dari ibu, mengingat anak masih berusia di bawah tujuh tahun.</w:t>
      </w:r>
    </w:p>
    <w:p w14:paraId="6321714B" w14:textId="584E3407" w:rsidR="004C3FB5" w:rsidRPr="00F503D7" w:rsidRDefault="00AC4DDD" w:rsidP="00E41DAA">
      <w:pPr>
        <w:pStyle w:val="DaftarParagraf"/>
        <w:spacing w:line="360" w:lineRule="auto"/>
        <w:ind w:left="1571" w:firstLine="589"/>
        <w:jc w:val="both"/>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Hakim menafsirkan Pasal 28B ayat (2) UUD 1945, yang menjamin hak anak atas kelangsungan hidup, tumbuh kembang, dan perlindungan dari diskriminasi, dengan menganggap kebutuhan anak di usia dini untuk dekat dengan ibu sebagai bagian yang harus dilindungi dari hak tumbuh kembang tersebut. Pasal 12 ayat (1) huruf a UU No. 20 Tahun 2003 tentang Sisdiknas juga termasuk dalam pertimbangan hakim. Pasal ini menjamin hak setiap siswa untuk memperoleh pendidikan agama yang diajarkan oleh pendidik seagama mereka. Hakim menafsirkan bahwa meskipun ibu murtad, hak anak atas pendidikan agama Islam dapat tetap dijamin melalui sistem pendidikan formal maupun nonformal. Dengan kata lain, pendidikan agama tidak semata-mata ditentukan oleh keyakinan ibu, tetapi juga dapat dijaga melalui peran ayah, keluarga besar, dan lembaga pendidikan.</w:t>
      </w:r>
    </w:p>
    <w:p w14:paraId="4B2ED9BE" w14:textId="66D9E186" w:rsidR="00AC4DDD" w:rsidRPr="00F503D7" w:rsidRDefault="00AC4DDD" w:rsidP="00E41DAA">
      <w:pPr>
        <w:pStyle w:val="DaftarParagraf"/>
        <w:spacing w:line="360" w:lineRule="auto"/>
        <w:ind w:left="1571" w:firstLine="589"/>
        <w:jc w:val="both"/>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Meski demikian, putusan ini menimbulkan disparitas dengan yurisprudensi Mahkamah Agung. Jika pada yurisprudensi sebelumnya perlindungan akidah menjadi pertimbangan utama, maka dalam putusan ini kepentingan psikologis anak ditempatkan di atas potensi risiko perbedaan agama. Hal ini menimbulkan ketidakpastian hukum, sekaligus membuka ruang diskursus baru mengenai prioritas dalam perkara hadhanah.</w:t>
      </w:r>
      <w:r w:rsidR="00E41DAA" w:rsidRPr="00F503D7">
        <w:rPr>
          <w:rFonts w:ascii="Book Antiqua" w:eastAsia="Times New Roman" w:hAnsi="Book Antiqua" w:cstheme="majorBidi"/>
          <w:sz w:val="24"/>
          <w:szCs w:val="24"/>
          <w:lang w:eastAsia="en-ID"/>
        </w:rPr>
        <w:t xml:space="preserve"> Pengasuhan anak oleh ibu murtad harus diintegrasikan dengan pendidikan agama yang sistematis. Implikasi yuridisnya adalah perlunya rancangan jadwal belajar agama yang jelas dan terpantau, sehingga anak tidak kehilangan arah dalam pembentukan akidah. Secara keseluruhan, putusan ini memiliki implikasi ganda yaitu dengan menjaga kedekatan emosional anak dengan ibu, tetapi juga berpotensi melemahkan pendidikan agama jika tidak diawasi.</w:t>
      </w:r>
    </w:p>
    <w:p w14:paraId="5F727DA8" w14:textId="77777777" w:rsidR="00E41DAA" w:rsidRPr="00F503D7" w:rsidRDefault="00E41DAA" w:rsidP="00E41DAA">
      <w:pPr>
        <w:pStyle w:val="DaftarParagraf"/>
        <w:numPr>
          <w:ilvl w:val="0"/>
          <w:numId w:val="2"/>
        </w:numPr>
        <w:rPr>
          <w:rFonts w:ascii="Book Antiqua" w:eastAsia="Times New Roman" w:hAnsi="Book Antiqua" w:cstheme="majorBidi"/>
          <w:b/>
          <w:bCs/>
          <w:sz w:val="24"/>
          <w:szCs w:val="24"/>
          <w:lang w:eastAsia="en-ID"/>
        </w:rPr>
      </w:pPr>
      <w:r w:rsidRPr="00F503D7">
        <w:rPr>
          <w:rFonts w:ascii="Book Antiqua" w:eastAsia="Times New Roman" w:hAnsi="Book Antiqua" w:cstheme="majorBidi"/>
          <w:b/>
          <w:bCs/>
          <w:sz w:val="24"/>
          <w:szCs w:val="24"/>
          <w:lang w:eastAsia="en-ID"/>
        </w:rPr>
        <w:t>Pertimbangan Hukum Hakim Dalam Putusan PA PARIGI NO. 0117/PDT.G/2016/PA.PRGI Yang Memutuskan Hak Asuh Anak Kepada Ibu Murtad Sampai Usia 7 Tahun Dikaitkan Dengan Pendidikan Anak Mengenal Agama Berdasarkan Sistem Pendidikan Nasional</w:t>
      </w:r>
    </w:p>
    <w:p w14:paraId="4FADC84A" w14:textId="4177B33B" w:rsidR="00E41DAA" w:rsidRPr="00F503D7" w:rsidRDefault="00E41DAA" w:rsidP="00E41DAA">
      <w:pPr>
        <w:spacing w:line="360" w:lineRule="auto"/>
        <w:ind w:left="1571" w:firstLine="589"/>
        <w:jc w:val="both"/>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Putusan PA Parigi No. 0117/Pdt.G/2016/PA.PRGI menarik perhatian karena menetapkan hak asuh (hadhanah) anak (sampai usia tujuh tahun) kepada ibu yang murtad. Pasal 12 ayat (1) huruf UU No. 20 Tahun 2003 tentang Sisdiknas, yang menjamin hak setiap siswa untuk memperoleh pendidikan agama seagama yang diajarkan oleh guru seagama mereka, harus menjadi dasar untuk menilai pertimbangan hakim dalam keputusan ini. Ketentuan ini memberikan landasan normatif bahwa hak anak atas pendidikan agama tidak boleh diabaikan dalam setiap putusan pengadilan, termasuk dalam perkara hadhanah.</w:t>
      </w:r>
    </w:p>
    <w:p w14:paraId="2823C65C" w14:textId="25FF1EC8" w:rsidR="00E41DAA" w:rsidRPr="00F503D7" w:rsidRDefault="00E41DAA" w:rsidP="00E41DAA">
      <w:pPr>
        <w:spacing w:line="360" w:lineRule="auto"/>
        <w:ind w:left="1571" w:firstLine="589"/>
        <w:jc w:val="both"/>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Putusan yang memberikan hak asuh anak kepada ibu yang murtad dapat menimbulkan masalah dalam pemenuhan hak anak atas pendidikan agama Islam, jika dikaitkan dengan ketentuan tersebut (Pasal 12 ayat (1) huruf a UU Sisdiknas). Anak yang beragama Islam seharusnya mendapatkan bimbingan pendidikan agama Islam secara konsisten agar tumbuh dengan identitas keagamaan yang jelas, sebagaimana diatur dalam Pasal 12 ayat (1) huruf a UU No. 20 Tahun 2003 tentang Sistem Pendidikan Nasional (UU Sisdiknas). Apabila anak berada dalam pengasuhan orang tua yang tidak seagama, maka terdapat risiko terganggunya pelaksanaan hak tersebut, sehingga hakim seharusnya lebih berhati-hati dalam memastikan terpenuhinya kepentingan terbaik anak, tidak hanya dari aspek perkembangan fisik dan psikologis, tetapi juga dari aspek pendidikan agama.</w:t>
      </w:r>
    </w:p>
    <w:p w14:paraId="474CB7AC" w14:textId="2FB95BA3" w:rsidR="00E41DAA" w:rsidRPr="00F503D7" w:rsidRDefault="00E41DAA" w:rsidP="00E41DAA">
      <w:pPr>
        <w:spacing w:line="360" w:lineRule="auto"/>
        <w:ind w:left="1571" w:firstLine="589"/>
        <w:jc w:val="both"/>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Hakim seharusnya mengaitkan keputusan hadhanah dengan jaminan normatif dalam Pasal 12 ayat (1) huruf a UU Sisdiknas, sehingga hak anak atas pendidikan agama tetap terjamin meskipun orang tua kandungnya mengalami perbedaan keyakinan. negara menjamin hak setiap anak untuk mendapatkan pendidikan agama yang sesuai dengan keyakinannya sejak kecil. Dalam konteks perkara ini, ketika ibu sebagai pengasuh utama berbeda agama, terdapat risiko pelaksanaan norma tersebut terhambat. Oleh karena itu, pertimbangan hakim seharusnya memastikan adanya mekanisme atau syarat yang dapat menjamin hak ini tetap terpenuhi, meskipun pengasuh utama berbeda keyakinan dengan anak.</w:t>
      </w:r>
    </w:p>
    <w:p w14:paraId="74FD3A1A" w14:textId="714652F9" w:rsidR="00E41DAA" w:rsidRPr="00F503D7" w:rsidRDefault="000005C5" w:rsidP="00E41DAA">
      <w:pPr>
        <w:spacing w:line="360" w:lineRule="auto"/>
        <w:ind w:left="1571" w:firstLine="589"/>
        <w:jc w:val="both"/>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Dengan mempertimbangkan seluruh aspek hukum positif, hukum Islam, yurisprudensi, dan perlindungan anak, seharusnya setiap putusan hadhanah yang melibatkan perbedaan agama antara pengasuh dan anak memuat syarat-syarat yang menjamin perlindungan akidah anak. Hal ini akan menjaga keseimbangan antara kebutuhan emosional dan spiritual anak, sehingga kepentingan terbaik anak dapat terpenuhi secara utuh.</w:t>
      </w:r>
    </w:p>
    <w:p w14:paraId="31EA1EDB" w14:textId="40615029" w:rsidR="000005C5" w:rsidRPr="00F503D7" w:rsidRDefault="000005C5" w:rsidP="000005C5">
      <w:pPr>
        <w:spacing w:after="0" w:line="360" w:lineRule="auto"/>
        <w:jc w:val="both"/>
        <w:rPr>
          <w:rFonts w:ascii="Book Antiqua" w:eastAsia="Times New Roman" w:hAnsi="Book Antiqua" w:cstheme="majorBidi"/>
          <w:b/>
          <w:bCs/>
          <w:sz w:val="24"/>
          <w:szCs w:val="24"/>
          <w:lang w:eastAsia="en-ID"/>
        </w:rPr>
      </w:pPr>
      <w:r w:rsidRPr="00F503D7">
        <w:rPr>
          <w:rFonts w:ascii="Book Antiqua" w:eastAsia="Times New Roman" w:hAnsi="Book Antiqua" w:cstheme="majorBidi"/>
          <w:sz w:val="24"/>
          <w:szCs w:val="24"/>
          <w:lang w:eastAsia="en-ID"/>
        </w:rPr>
        <w:t xml:space="preserve">                          </w:t>
      </w:r>
      <w:r w:rsidRPr="00F503D7">
        <w:rPr>
          <w:rFonts w:ascii="Book Antiqua" w:eastAsia="Times New Roman" w:hAnsi="Book Antiqua" w:cstheme="majorBidi"/>
          <w:b/>
          <w:bCs/>
          <w:sz w:val="24"/>
          <w:szCs w:val="24"/>
          <w:lang w:eastAsia="en-ID"/>
        </w:rPr>
        <w:t>PENUTUP</w:t>
      </w:r>
    </w:p>
    <w:p w14:paraId="2E480235" w14:textId="782B6935" w:rsidR="000005C5" w:rsidRPr="00F503D7" w:rsidRDefault="000005C5" w:rsidP="000005C5">
      <w:pPr>
        <w:spacing w:after="0" w:line="360" w:lineRule="auto"/>
        <w:jc w:val="both"/>
        <w:rPr>
          <w:rFonts w:ascii="Book Antiqua" w:eastAsia="Times New Roman" w:hAnsi="Book Antiqua" w:cstheme="majorBidi"/>
          <w:b/>
          <w:bCs/>
          <w:sz w:val="24"/>
          <w:szCs w:val="24"/>
          <w:lang w:eastAsia="en-ID"/>
        </w:rPr>
      </w:pPr>
      <w:r w:rsidRPr="00F503D7">
        <w:rPr>
          <w:rFonts w:ascii="Book Antiqua" w:eastAsia="Times New Roman" w:hAnsi="Book Antiqua" w:cstheme="majorBidi"/>
          <w:b/>
          <w:bCs/>
          <w:sz w:val="24"/>
          <w:szCs w:val="24"/>
          <w:lang w:eastAsia="en-ID"/>
        </w:rPr>
        <w:tab/>
      </w:r>
      <w:r w:rsidRPr="00F503D7">
        <w:rPr>
          <w:rFonts w:ascii="Book Antiqua" w:eastAsia="Times New Roman" w:hAnsi="Book Antiqua" w:cstheme="majorBidi"/>
          <w:b/>
          <w:bCs/>
          <w:sz w:val="24"/>
          <w:szCs w:val="24"/>
          <w:lang w:eastAsia="en-ID"/>
        </w:rPr>
        <w:tab/>
        <w:t xml:space="preserve">  Kesimpulan</w:t>
      </w:r>
    </w:p>
    <w:p w14:paraId="1DA1CCD3" w14:textId="03DA03EE" w:rsidR="000005C5" w:rsidRPr="00F503D7" w:rsidRDefault="000005C5" w:rsidP="000005C5">
      <w:pPr>
        <w:spacing w:after="0"/>
        <w:ind w:left="1440"/>
        <w:jc w:val="both"/>
        <w:rPr>
          <w:rFonts w:ascii="Book Antiqua" w:eastAsia="Times New Roman" w:hAnsi="Book Antiqua" w:cstheme="majorBidi"/>
          <w:sz w:val="24"/>
          <w:szCs w:val="24"/>
          <w:lang w:eastAsia="en-ID"/>
        </w:rPr>
      </w:pPr>
      <w:r w:rsidRPr="00F503D7">
        <w:rPr>
          <w:rFonts w:ascii="Book Antiqua" w:eastAsia="Times New Roman" w:hAnsi="Book Antiqua" w:cstheme="majorBidi"/>
          <w:b/>
          <w:bCs/>
          <w:sz w:val="24"/>
          <w:szCs w:val="24"/>
          <w:lang w:eastAsia="en-ID"/>
        </w:rPr>
        <w:t xml:space="preserve">     </w:t>
      </w:r>
      <w:r w:rsidRPr="00F503D7">
        <w:rPr>
          <w:rFonts w:ascii="Book Antiqua" w:eastAsia="Times New Roman" w:hAnsi="Book Antiqua" w:cstheme="majorBidi"/>
          <w:sz w:val="24"/>
          <w:szCs w:val="24"/>
          <w:lang w:eastAsia="en-ID"/>
        </w:rPr>
        <w:t>Berdasarkan hasil penelitian dapat disimpulkan bahwa:</w:t>
      </w:r>
    </w:p>
    <w:p w14:paraId="633B7445" w14:textId="60B1CFD5" w:rsidR="000005C5" w:rsidRPr="00F503D7" w:rsidRDefault="000005C5" w:rsidP="000005C5">
      <w:pPr>
        <w:spacing w:after="0" w:line="360" w:lineRule="auto"/>
        <w:ind w:left="1440"/>
        <w:jc w:val="both"/>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1. Implikasi Putusan Hakim yang Memberikan Hak Asuh Anak Sampai dengan Usia 7 Tahun kepada Ibu Murtad dalam Pendidikan Anak Mengenal Agama. Putusan Pengadilan Agama Parigi Nomor 0117/Pdt.G/2016/PA.PRGI yang memberikan hak asuh anak kepada ibu murtad hingga usia tujuh tahun memiliki implikasi yuridis yang signifikan. Dari aspek pendidikan agama, putusan ini berpotensi menimbulkan risiko terganggunya pembentukan akidah dan pemahaman agama Islam anak, mengingat masa usia dini merupakan periode krusial dalam penanaman nilai-nilai keagamaan. Namun, putusan ini juga dapat mempertahankan kestabilan emosional anak dengan tetap berada bersama ibunya. Implikasi tersebut menuntut adanya mekanisme pengawasan dan syarat-syarat khusus yang menjamin hak anak atas pendidikan agama tetap terpenuhi, seperti mewajibkan pengasuh untuk mengikutsertakan anak dalam pendidikan formal dan nonformal berbasis Islam, serta keterlibatan keluarga ayah dalam pembinaan keagamaan anak..</w:t>
      </w:r>
    </w:p>
    <w:p w14:paraId="7AE86F0D" w14:textId="44A8CFA0" w:rsidR="000005C5" w:rsidRPr="00F503D7" w:rsidRDefault="000005C5" w:rsidP="000005C5">
      <w:pPr>
        <w:spacing w:after="0" w:line="360" w:lineRule="auto"/>
        <w:ind w:left="1440"/>
        <w:jc w:val="both"/>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2. Pertimbangan Hukum Hakim dalam Memutuskan Hak Asuh Anak kepada Ibu Murtad sampai Usia 7 Tahun Dikaitkan dengan Pendidikan Anak Mengenal Agama Berdasarkan Sistem Pendidikan Nasional.</w:t>
      </w:r>
    </w:p>
    <w:p w14:paraId="347020B9" w14:textId="47DB304C" w:rsidR="000005C5" w:rsidRPr="00F503D7" w:rsidRDefault="000005C5" w:rsidP="000005C5">
      <w:pPr>
        <w:spacing w:after="0" w:line="360" w:lineRule="auto"/>
        <w:ind w:left="1440"/>
        <w:jc w:val="both"/>
        <w:rPr>
          <w:rFonts w:ascii="Book Antiqua" w:eastAsia="Times New Roman" w:hAnsi="Book Antiqua" w:cstheme="majorBidi"/>
          <w:sz w:val="24"/>
          <w:szCs w:val="24"/>
          <w:lang w:eastAsia="en-ID"/>
        </w:rPr>
      </w:pPr>
      <w:r w:rsidRPr="00F503D7">
        <w:rPr>
          <w:rFonts w:ascii="Book Antiqua" w:eastAsia="Times New Roman" w:hAnsi="Book Antiqua" w:cstheme="majorBidi"/>
          <w:sz w:val="24"/>
          <w:szCs w:val="24"/>
          <w:lang w:eastAsia="en-ID"/>
        </w:rPr>
        <w:t>Pertimbangan hakim dalam perkara ini didasarkan pada prinsip kepentingan terbaik bagi anak (best interest of the child) sesuai UU Perlindungan Anak. Hakim memprioritaskan kebutuhan emosional anak di bawah usia tujuh tahun. Akan tetapi, pertimbangan tersebut kurang menekankan perlindungan pendidikan agama anak secara komprehensif sebagaimana diatur dalam Pasal 12 ayat (1) huruf a UU No. 20 Tahun 2003 tentang Sistem Pendidikan Nasional, yang menetapkan bahwa anak-anak harus mendapatkan pendidikan agama sesuai dengan agama yang mereka anut.</w:t>
      </w:r>
    </w:p>
    <w:p w14:paraId="7C9B745F" w14:textId="72CC4A88" w:rsidR="000005C5" w:rsidRPr="00F503D7" w:rsidRDefault="000005C5" w:rsidP="000005C5">
      <w:pPr>
        <w:spacing w:after="0" w:line="360" w:lineRule="auto"/>
        <w:jc w:val="both"/>
        <w:rPr>
          <w:rFonts w:ascii="Book Antiqua" w:eastAsia="Times New Roman" w:hAnsi="Book Antiqua" w:cstheme="majorBidi"/>
          <w:sz w:val="24"/>
          <w:szCs w:val="24"/>
          <w:lang w:eastAsia="en-ID"/>
        </w:rPr>
      </w:pPr>
    </w:p>
    <w:p w14:paraId="22544483" w14:textId="7587B86F" w:rsidR="000005C5" w:rsidRPr="00F503D7" w:rsidRDefault="000005C5" w:rsidP="000005C5">
      <w:pPr>
        <w:spacing w:after="0" w:line="360" w:lineRule="auto"/>
        <w:ind w:left="720" w:firstLine="720"/>
        <w:jc w:val="both"/>
        <w:rPr>
          <w:rFonts w:ascii="Book Antiqua" w:eastAsia="Times New Roman" w:hAnsi="Book Antiqua" w:cstheme="majorBidi"/>
          <w:b/>
          <w:bCs/>
          <w:sz w:val="24"/>
          <w:szCs w:val="24"/>
          <w:lang w:eastAsia="en-ID"/>
        </w:rPr>
      </w:pPr>
      <w:r w:rsidRPr="00F503D7">
        <w:rPr>
          <w:rFonts w:ascii="Book Antiqua" w:eastAsia="Times New Roman" w:hAnsi="Book Antiqua" w:cstheme="majorBidi"/>
          <w:b/>
          <w:bCs/>
          <w:sz w:val="24"/>
          <w:szCs w:val="24"/>
          <w:lang w:eastAsia="en-ID"/>
        </w:rPr>
        <w:t xml:space="preserve">Saran </w:t>
      </w:r>
    </w:p>
    <w:p w14:paraId="13BF49EF" w14:textId="56301F56" w:rsidR="000005C5" w:rsidRPr="00F503D7" w:rsidRDefault="000005C5" w:rsidP="000005C5">
      <w:pPr>
        <w:pStyle w:val="DaftarParagraf"/>
        <w:spacing w:line="480" w:lineRule="auto"/>
        <w:ind w:left="1440" w:firstLine="66"/>
        <w:jc w:val="both"/>
        <w:rPr>
          <w:rFonts w:ascii="Book Antiqua" w:hAnsi="Book Antiqua" w:cstheme="majorBidi"/>
          <w:sz w:val="24"/>
          <w:szCs w:val="24"/>
        </w:rPr>
      </w:pPr>
      <w:r w:rsidRPr="00F503D7">
        <w:rPr>
          <w:rFonts w:ascii="Book Antiqua" w:hAnsi="Book Antiqua" w:cstheme="majorBidi"/>
          <w:sz w:val="24"/>
          <w:szCs w:val="24"/>
        </w:rPr>
        <w:t xml:space="preserve">  Untuk mewujudkan sistem peradilan perdata yang lebih adil, manusiawi, dan efektif dalam membahas hadanah kepada ibu yang murtad, penulis memberikan beberapa saran sebagai berikut:</w:t>
      </w:r>
    </w:p>
    <w:p w14:paraId="2C840255" w14:textId="77777777" w:rsidR="000005C5" w:rsidRPr="00F503D7" w:rsidRDefault="000005C5" w:rsidP="000005C5">
      <w:pPr>
        <w:pStyle w:val="DaftarParagraf"/>
        <w:numPr>
          <w:ilvl w:val="0"/>
          <w:numId w:val="3"/>
        </w:numPr>
        <w:spacing w:line="480" w:lineRule="auto"/>
        <w:jc w:val="both"/>
        <w:rPr>
          <w:rFonts w:ascii="Book Antiqua" w:hAnsi="Book Antiqua" w:cstheme="majorBidi"/>
          <w:b/>
          <w:bCs/>
          <w:sz w:val="24"/>
          <w:szCs w:val="24"/>
        </w:rPr>
      </w:pPr>
      <w:r w:rsidRPr="00F503D7">
        <w:rPr>
          <w:rFonts w:ascii="Book Antiqua" w:hAnsi="Book Antiqua" w:cstheme="majorBidi"/>
          <w:sz w:val="24"/>
          <w:szCs w:val="24"/>
        </w:rPr>
        <w:t xml:space="preserve">Aparat penegak hukum perlu mempertimbangkan secara seimbang aspek psikologis anak dan hak atas pendidikan agama dalam perkara </w:t>
      </w:r>
      <w:r w:rsidRPr="00F503D7">
        <w:rPr>
          <w:rFonts w:ascii="Book Antiqua" w:hAnsi="Book Antiqua" w:cstheme="majorBidi"/>
          <w:i/>
          <w:iCs/>
          <w:sz w:val="24"/>
          <w:szCs w:val="24"/>
        </w:rPr>
        <w:t>hadhanah</w:t>
      </w:r>
      <w:r w:rsidRPr="00F503D7">
        <w:rPr>
          <w:rFonts w:ascii="Book Antiqua" w:hAnsi="Book Antiqua" w:cstheme="majorBidi"/>
          <w:sz w:val="24"/>
          <w:szCs w:val="24"/>
        </w:rPr>
        <w:t xml:space="preserve">. Khususnya dalam kasus seperti Putusan PA Parigi No. 0117/Pdt.G/2016/PA.PRGI, hakim harus merujuk tidak hanya pada KHI, tetapi juga pada UU Perlindungan Anak, UU Sisdiknas, dan yurisprudensi MA untuk menghindari disparitas hukum. Penting bagi hakim untuk memastikan bahwa pemegang hak asuh mampu memenuhi pendidikan agama anak sesuai keyakinannya, guna menjaga prinsip </w:t>
      </w:r>
      <w:r w:rsidRPr="00F503D7">
        <w:rPr>
          <w:rFonts w:ascii="Book Antiqua" w:hAnsi="Book Antiqua" w:cstheme="majorBidi"/>
          <w:b/>
          <w:bCs/>
          <w:sz w:val="24"/>
          <w:szCs w:val="24"/>
        </w:rPr>
        <w:t>kepentingan terbaik anak</w:t>
      </w:r>
      <w:r w:rsidRPr="00F503D7">
        <w:rPr>
          <w:rFonts w:ascii="Book Antiqua" w:hAnsi="Book Antiqua" w:cstheme="majorBidi"/>
          <w:sz w:val="24"/>
          <w:szCs w:val="24"/>
        </w:rPr>
        <w:t xml:space="preserve"> secara utuh. </w:t>
      </w:r>
    </w:p>
    <w:p w14:paraId="5F5A4CAC" w14:textId="1B817C04" w:rsidR="000005C5" w:rsidRPr="00F503D7" w:rsidRDefault="000005C5" w:rsidP="000005C5">
      <w:pPr>
        <w:pStyle w:val="DaftarParagraf"/>
        <w:numPr>
          <w:ilvl w:val="0"/>
          <w:numId w:val="3"/>
        </w:numPr>
        <w:spacing w:line="480" w:lineRule="auto"/>
        <w:jc w:val="both"/>
        <w:rPr>
          <w:rFonts w:ascii="Book Antiqua" w:hAnsi="Book Antiqua" w:cstheme="majorBidi"/>
          <w:b/>
          <w:bCs/>
          <w:sz w:val="24"/>
          <w:szCs w:val="24"/>
        </w:rPr>
      </w:pPr>
      <w:r w:rsidRPr="00F503D7">
        <w:rPr>
          <w:rFonts w:ascii="Book Antiqua" w:hAnsi="Book Antiqua" w:cstheme="majorBidi"/>
          <w:sz w:val="24"/>
          <w:szCs w:val="24"/>
        </w:rPr>
        <w:t>Pemerintah perlu mengambil langkah untuk mengatasi kekaburan hukum dan disparitas putusan dalam pemberian hak asuh akibat pindah agama, melalui penyediaan pedoman yang lebih jelas dan tegas. Selain itu, diperlukan revisi atau penyesuaian regulasi yang ada, seperti Kompilasi Hukum Islam (KHI), agar selaras dengan prinsip perlindungan dan keuntungan terbaik anak, termasuk hak atas pendidikan agama. Terakhir, Pemerintah disarankan untuk meningkatkan pengawasan dan pembinaan terhadap pelaksanaan pendidikan agama anak pasca-hadhanah, demi menjamin pemenuhan hak spiritual dan emosional anak secara utuh.</w:t>
      </w:r>
    </w:p>
    <w:p w14:paraId="2E99281A" w14:textId="51A43726" w:rsidR="00F503D7" w:rsidRDefault="000005C5" w:rsidP="00103FC0">
      <w:pPr>
        <w:spacing w:line="480" w:lineRule="auto"/>
        <w:ind w:left="1506" w:firstLine="360"/>
        <w:jc w:val="both"/>
        <w:rPr>
          <w:rFonts w:ascii="Book Antiqua" w:hAnsi="Book Antiqua" w:cstheme="majorBidi"/>
          <w:sz w:val="24"/>
          <w:szCs w:val="24"/>
        </w:rPr>
      </w:pPr>
      <w:r w:rsidRPr="00F503D7">
        <w:rPr>
          <w:rFonts w:ascii="Book Antiqua" w:hAnsi="Book Antiqua" w:cstheme="majorBidi"/>
          <w:sz w:val="24"/>
          <w:szCs w:val="24"/>
        </w:rPr>
        <w:t>Penutup berisi kesimpulan dan saran sebagai jawaban dan solusi terhadap permasalahan yang dikemukakan sebelumnya. Penutup disampaikan secara singkat dan jelas serta bukan merupakan duplikasi dari abstrak.</w:t>
      </w:r>
    </w:p>
    <w:p w14:paraId="23E49748" w14:textId="138C685F" w:rsidR="00443BC6" w:rsidRDefault="00443BC6" w:rsidP="00103FC0">
      <w:pPr>
        <w:spacing w:line="480" w:lineRule="auto"/>
        <w:ind w:left="1506" w:firstLine="360"/>
        <w:jc w:val="both"/>
        <w:rPr>
          <w:rFonts w:ascii="Book Antiqua" w:hAnsi="Book Antiqua" w:cstheme="majorBidi"/>
          <w:sz w:val="24"/>
          <w:szCs w:val="24"/>
        </w:rPr>
      </w:pPr>
    </w:p>
    <w:p w14:paraId="0C8CB55E" w14:textId="4591E73C" w:rsidR="00443BC6" w:rsidRDefault="00443BC6" w:rsidP="00103FC0">
      <w:pPr>
        <w:spacing w:line="480" w:lineRule="auto"/>
        <w:ind w:left="1506" w:firstLine="360"/>
        <w:jc w:val="both"/>
        <w:rPr>
          <w:rFonts w:ascii="Book Antiqua" w:hAnsi="Book Antiqua" w:cstheme="majorBidi"/>
          <w:sz w:val="24"/>
          <w:szCs w:val="24"/>
        </w:rPr>
      </w:pPr>
    </w:p>
    <w:p w14:paraId="0960D42C" w14:textId="62B85A9F" w:rsidR="006A2FDC" w:rsidRDefault="006A2FDC" w:rsidP="00103FC0">
      <w:pPr>
        <w:spacing w:line="480" w:lineRule="auto"/>
        <w:ind w:left="1506" w:firstLine="360"/>
        <w:jc w:val="both"/>
        <w:rPr>
          <w:rFonts w:ascii="Book Antiqua" w:hAnsi="Book Antiqua" w:cstheme="majorBidi"/>
          <w:sz w:val="24"/>
          <w:szCs w:val="24"/>
        </w:rPr>
      </w:pPr>
    </w:p>
    <w:p w14:paraId="55798045" w14:textId="313AB03B" w:rsidR="006A2FDC" w:rsidRDefault="006A2FDC" w:rsidP="00103FC0">
      <w:pPr>
        <w:spacing w:line="480" w:lineRule="auto"/>
        <w:ind w:left="1506" w:firstLine="360"/>
        <w:jc w:val="both"/>
        <w:rPr>
          <w:rFonts w:ascii="Book Antiqua" w:hAnsi="Book Antiqua" w:cstheme="majorBidi"/>
          <w:sz w:val="24"/>
          <w:szCs w:val="24"/>
        </w:rPr>
      </w:pPr>
    </w:p>
    <w:p w14:paraId="3387A71E" w14:textId="76230203" w:rsidR="006A2FDC" w:rsidRDefault="006A2FDC" w:rsidP="00103FC0">
      <w:pPr>
        <w:spacing w:line="480" w:lineRule="auto"/>
        <w:ind w:left="1506" w:firstLine="360"/>
        <w:jc w:val="both"/>
        <w:rPr>
          <w:rFonts w:ascii="Book Antiqua" w:hAnsi="Book Antiqua" w:cstheme="majorBidi"/>
          <w:sz w:val="24"/>
          <w:szCs w:val="24"/>
        </w:rPr>
      </w:pPr>
    </w:p>
    <w:p w14:paraId="38111E4F" w14:textId="03C481DD" w:rsidR="006A2FDC" w:rsidRDefault="006A2FDC" w:rsidP="00103FC0">
      <w:pPr>
        <w:spacing w:line="480" w:lineRule="auto"/>
        <w:ind w:left="1506" w:firstLine="360"/>
        <w:jc w:val="both"/>
        <w:rPr>
          <w:rFonts w:ascii="Book Antiqua" w:hAnsi="Book Antiqua" w:cstheme="majorBidi"/>
          <w:sz w:val="24"/>
          <w:szCs w:val="24"/>
        </w:rPr>
      </w:pPr>
    </w:p>
    <w:p w14:paraId="24B6A180" w14:textId="0D5E7768" w:rsidR="006A2FDC" w:rsidRDefault="006A2FDC" w:rsidP="00103FC0">
      <w:pPr>
        <w:spacing w:line="480" w:lineRule="auto"/>
        <w:ind w:left="1506" w:firstLine="360"/>
        <w:jc w:val="both"/>
        <w:rPr>
          <w:rFonts w:ascii="Book Antiqua" w:hAnsi="Book Antiqua" w:cstheme="majorBidi"/>
          <w:sz w:val="24"/>
          <w:szCs w:val="24"/>
        </w:rPr>
      </w:pPr>
    </w:p>
    <w:p w14:paraId="7C178454" w14:textId="2D3C8985" w:rsidR="006A2FDC" w:rsidRDefault="006A2FDC" w:rsidP="00103FC0">
      <w:pPr>
        <w:spacing w:line="480" w:lineRule="auto"/>
        <w:ind w:left="1506" w:firstLine="360"/>
        <w:jc w:val="both"/>
        <w:rPr>
          <w:rFonts w:ascii="Book Antiqua" w:hAnsi="Book Antiqua" w:cstheme="majorBidi"/>
          <w:sz w:val="24"/>
          <w:szCs w:val="24"/>
        </w:rPr>
      </w:pPr>
    </w:p>
    <w:p w14:paraId="067488AA" w14:textId="3FAB90F7" w:rsidR="006A2FDC" w:rsidRDefault="006A2FDC" w:rsidP="00103FC0">
      <w:pPr>
        <w:spacing w:line="480" w:lineRule="auto"/>
        <w:ind w:left="1506" w:firstLine="360"/>
        <w:jc w:val="both"/>
        <w:rPr>
          <w:rFonts w:ascii="Book Antiqua" w:hAnsi="Book Antiqua" w:cstheme="majorBidi"/>
          <w:sz w:val="24"/>
          <w:szCs w:val="24"/>
        </w:rPr>
      </w:pPr>
    </w:p>
    <w:p w14:paraId="35942A37" w14:textId="77777777" w:rsidR="006A2FDC" w:rsidRPr="00F503D7" w:rsidRDefault="006A2FDC" w:rsidP="00103FC0">
      <w:pPr>
        <w:spacing w:line="480" w:lineRule="auto"/>
        <w:ind w:left="1506" w:firstLine="360"/>
        <w:jc w:val="both"/>
        <w:rPr>
          <w:rFonts w:ascii="Book Antiqua" w:hAnsi="Book Antiqua" w:cstheme="majorBidi"/>
          <w:sz w:val="24"/>
          <w:szCs w:val="24"/>
        </w:rPr>
      </w:pPr>
    </w:p>
    <w:p w14:paraId="771FC5F6" w14:textId="2C79AC7B" w:rsidR="006E3BBF" w:rsidRPr="00F503D7" w:rsidRDefault="000005C5" w:rsidP="000005C5">
      <w:pPr>
        <w:spacing w:after="0" w:line="360" w:lineRule="auto"/>
        <w:rPr>
          <w:rFonts w:ascii="Book Antiqua" w:hAnsi="Book Antiqua" w:cstheme="majorBidi"/>
          <w:b/>
          <w:bCs/>
          <w:sz w:val="24"/>
          <w:szCs w:val="24"/>
        </w:rPr>
      </w:pPr>
      <w:r w:rsidRPr="00F503D7">
        <w:rPr>
          <w:rFonts w:ascii="Book Antiqua" w:hAnsi="Book Antiqua" w:cstheme="majorBidi"/>
          <w:sz w:val="24"/>
          <w:szCs w:val="24"/>
        </w:rPr>
        <w:t xml:space="preserve">   </w:t>
      </w:r>
      <w:r w:rsidR="00D86C52" w:rsidRPr="00F503D7">
        <w:rPr>
          <w:rFonts w:ascii="Book Antiqua" w:hAnsi="Book Antiqua" w:cstheme="majorBidi"/>
          <w:sz w:val="24"/>
          <w:szCs w:val="24"/>
        </w:rPr>
        <w:tab/>
      </w:r>
      <w:r w:rsidRPr="00F503D7">
        <w:rPr>
          <w:rFonts w:ascii="Book Antiqua" w:hAnsi="Book Antiqua" w:cstheme="majorBidi"/>
          <w:b/>
          <w:bCs/>
          <w:sz w:val="24"/>
          <w:szCs w:val="24"/>
        </w:rPr>
        <w:t>DAFTAR PUSTAKA</w:t>
      </w:r>
    </w:p>
    <w:p w14:paraId="451F6381" w14:textId="1C7F5ED1" w:rsidR="000005C5" w:rsidRPr="00F503D7" w:rsidRDefault="000005C5" w:rsidP="000005C5">
      <w:pPr>
        <w:spacing w:after="0" w:line="360" w:lineRule="auto"/>
        <w:rPr>
          <w:rFonts w:ascii="Book Antiqua" w:hAnsi="Book Antiqua" w:cstheme="majorBidi"/>
          <w:b/>
          <w:bCs/>
          <w:sz w:val="24"/>
          <w:szCs w:val="24"/>
        </w:rPr>
      </w:pPr>
      <w:r w:rsidRPr="00F503D7">
        <w:rPr>
          <w:rFonts w:ascii="Book Antiqua" w:hAnsi="Book Antiqua" w:cstheme="majorBidi"/>
          <w:b/>
          <w:bCs/>
          <w:sz w:val="24"/>
          <w:szCs w:val="24"/>
        </w:rPr>
        <w:t xml:space="preserve"> </w:t>
      </w:r>
      <w:r w:rsidR="00D86C52" w:rsidRPr="00F503D7">
        <w:rPr>
          <w:rFonts w:ascii="Book Antiqua" w:hAnsi="Book Antiqua" w:cstheme="majorBidi"/>
          <w:b/>
          <w:bCs/>
          <w:sz w:val="24"/>
          <w:szCs w:val="24"/>
        </w:rPr>
        <w:tab/>
      </w:r>
      <w:r w:rsidRPr="00F503D7">
        <w:rPr>
          <w:rFonts w:ascii="Book Antiqua" w:hAnsi="Book Antiqua" w:cstheme="majorBidi"/>
          <w:b/>
          <w:bCs/>
          <w:sz w:val="24"/>
          <w:szCs w:val="24"/>
        </w:rPr>
        <w:t>JURNAL</w:t>
      </w:r>
      <w:r w:rsidR="00D86C52" w:rsidRPr="00F503D7">
        <w:rPr>
          <w:rFonts w:ascii="Book Antiqua" w:hAnsi="Book Antiqua" w:cstheme="majorBidi"/>
          <w:b/>
          <w:bCs/>
          <w:sz w:val="24"/>
          <w:szCs w:val="24"/>
        </w:rPr>
        <w:t>:</w:t>
      </w:r>
    </w:p>
    <w:p w14:paraId="53519824" w14:textId="77777777" w:rsidR="00D86C52" w:rsidRPr="00F503D7" w:rsidRDefault="00D86C52" w:rsidP="00D86C52">
      <w:pPr>
        <w:spacing w:after="0" w:line="360" w:lineRule="auto"/>
        <w:ind w:left="720" w:right="-1"/>
        <w:jc w:val="both"/>
        <w:rPr>
          <w:rStyle w:val="Penekanan"/>
          <w:rFonts w:ascii="Book Antiqua" w:hAnsi="Book Antiqua" w:cstheme="majorBidi"/>
          <w:sz w:val="24"/>
          <w:szCs w:val="24"/>
        </w:rPr>
      </w:pPr>
      <w:r w:rsidRPr="00F503D7">
        <w:rPr>
          <w:rFonts w:ascii="Book Antiqua" w:hAnsi="Book Antiqua" w:cstheme="majorBidi"/>
          <w:sz w:val="24"/>
          <w:szCs w:val="24"/>
        </w:rPr>
        <w:t xml:space="preserve">Rahmansyah, Masrur. 2016. </w:t>
      </w:r>
      <w:r w:rsidRPr="00F503D7">
        <w:rPr>
          <w:rStyle w:val="Penekanan"/>
          <w:rFonts w:ascii="Book Antiqua" w:hAnsi="Book Antiqua" w:cstheme="majorBidi"/>
          <w:sz w:val="24"/>
          <w:szCs w:val="24"/>
        </w:rPr>
        <w:t>Hak Asuh Anak Terhadap Orang Tua yang Bercerai</w:t>
      </w:r>
    </w:p>
    <w:p w14:paraId="7C468C6B" w14:textId="77777777" w:rsidR="00D86C52" w:rsidRPr="00F503D7" w:rsidRDefault="00D86C52" w:rsidP="00D86C52">
      <w:pPr>
        <w:spacing w:after="0" w:line="360" w:lineRule="auto"/>
        <w:ind w:left="720" w:right="-1" w:firstLine="720"/>
        <w:jc w:val="both"/>
        <w:rPr>
          <w:rFonts w:ascii="Book Antiqua" w:hAnsi="Book Antiqua" w:cstheme="majorBidi"/>
          <w:sz w:val="24"/>
          <w:szCs w:val="24"/>
        </w:rPr>
      </w:pPr>
      <w:r w:rsidRPr="00F503D7">
        <w:rPr>
          <w:rStyle w:val="Penekanan"/>
          <w:rFonts w:ascii="Book Antiqua" w:hAnsi="Book Antiqua" w:cstheme="majorBidi"/>
          <w:sz w:val="24"/>
          <w:szCs w:val="24"/>
        </w:rPr>
        <w:t>Karena Berbeda Agama</w:t>
      </w:r>
      <w:r w:rsidRPr="00F503D7">
        <w:rPr>
          <w:rFonts w:ascii="Book Antiqua" w:hAnsi="Book Antiqua" w:cstheme="majorBidi"/>
          <w:i/>
          <w:iCs/>
          <w:sz w:val="24"/>
          <w:szCs w:val="24"/>
        </w:rPr>
        <w:t>.</w:t>
      </w:r>
      <w:r w:rsidRPr="00F503D7">
        <w:rPr>
          <w:rFonts w:ascii="Book Antiqua" w:hAnsi="Book Antiqua" w:cstheme="majorBidi"/>
          <w:sz w:val="24"/>
          <w:szCs w:val="24"/>
        </w:rPr>
        <w:t xml:space="preserve"> Skripsi. UIN Syarif Hidayatullah Jakarta</w:t>
      </w:r>
    </w:p>
    <w:p w14:paraId="3985E1ED" w14:textId="77777777" w:rsidR="00D86C52" w:rsidRPr="00F503D7" w:rsidRDefault="00D86C52" w:rsidP="00D86C52">
      <w:pPr>
        <w:spacing w:after="0" w:line="360" w:lineRule="auto"/>
        <w:ind w:left="720" w:right="-1"/>
        <w:jc w:val="both"/>
        <w:rPr>
          <w:rStyle w:val="Penekanan"/>
          <w:rFonts w:ascii="Book Antiqua" w:hAnsi="Book Antiqua" w:cstheme="majorBidi"/>
          <w:sz w:val="24"/>
          <w:szCs w:val="24"/>
        </w:rPr>
      </w:pPr>
      <w:r w:rsidRPr="00F503D7">
        <w:rPr>
          <w:rFonts w:ascii="Book Antiqua" w:hAnsi="Book Antiqua" w:cstheme="majorBidi"/>
          <w:sz w:val="24"/>
          <w:szCs w:val="24"/>
        </w:rPr>
        <w:t xml:space="preserve">Agus, Muhammad. 2018.  </w:t>
      </w:r>
      <w:r w:rsidRPr="00F503D7">
        <w:rPr>
          <w:rStyle w:val="Penekanan"/>
          <w:rFonts w:ascii="Book Antiqua" w:hAnsi="Book Antiqua" w:cstheme="majorBidi"/>
          <w:sz w:val="24"/>
          <w:szCs w:val="24"/>
        </w:rPr>
        <w:t>Hak Asuh Anak Akibat Perceraian Beda Agama</w:t>
      </w:r>
    </w:p>
    <w:p w14:paraId="60392114" w14:textId="77777777" w:rsidR="00D86C52" w:rsidRPr="00F503D7" w:rsidRDefault="00D86C52" w:rsidP="00D86C52">
      <w:pPr>
        <w:spacing w:after="0" w:line="360" w:lineRule="auto"/>
        <w:ind w:left="720" w:right="-1" w:firstLine="720"/>
        <w:jc w:val="both"/>
        <w:rPr>
          <w:rFonts w:ascii="Book Antiqua" w:hAnsi="Book Antiqua" w:cstheme="majorBidi"/>
          <w:sz w:val="24"/>
          <w:szCs w:val="24"/>
        </w:rPr>
      </w:pPr>
      <w:r w:rsidRPr="00F503D7">
        <w:rPr>
          <w:rStyle w:val="Penekanan"/>
          <w:rFonts w:ascii="Book Antiqua" w:hAnsi="Book Antiqua" w:cstheme="majorBidi"/>
          <w:sz w:val="24"/>
          <w:szCs w:val="24"/>
        </w:rPr>
        <w:t>Perspektif Hukum Islam dan Hukum Perdata</w:t>
      </w:r>
      <w:r w:rsidRPr="00F503D7">
        <w:rPr>
          <w:rFonts w:ascii="Book Antiqua" w:hAnsi="Book Antiqua" w:cstheme="majorBidi"/>
          <w:i/>
          <w:iCs/>
          <w:sz w:val="24"/>
          <w:szCs w:val="24"/>
        </w:rPr>
        <w:t xml:space="preserve">. </w:t>
      </w:r>
      <w:r w:rsidRPr="00F503D7">
        <w:rPr>
          <w:rFonts w:ascii="Book Antiqua" w:hAnsi="Book Antiqua" w:cstheme="majorBidi"/>
          <w:sz w:val="24"/>
          <w:szCs w:val="24"/>
        </w:rPr>
        <w:t>Skripsi. IAIN Parepare</w:t>
      </w:r>
    </w:p>
    <w:p w14:paraId="0AB6F042" w14:textId="77777777" w:rsidR="00D86C52" w:rsidRPr="00F503D7" w:rsidRDefault="00D86C52" w:rsidP="00D86C52">
      <w:pPr>
        <w:spacing w:after="0" w:line="360" w:lineRule="auto"/>
        <w:ind w:left="720" w:right="-1"/>
        <w:jc w:val="both"/>
        <w:rPr>
          <w:rStyle w:val="Penekanan"/>
          <w:rFonts w:ascii="Book Antiqua" w:hAnsi="Book Antiqua" w:cstheme="majorBidi"/>
          <w:sz w:val="24"/>
          <w:szCs w:val="24"/>
        </w:rPr>
      </w:pPr>
      <w:r w:rsidRPr="00F503D7">
        <w:rPr>
          <w:rFonts w:ascii="Book Antiqua" w:hAnsi="Book Antiqua" w:cstheme="majorBidi"/>
          <w:sz w:val="24"/>
          <w:szCs w:val="24"/>
        </w:rPr>
        <w:t>Purbantingtyas</w:t>
      </w:r>
      <w:r w:rsidRPr="00F503D7">
        <w:rPr>
          <w:rFonts w:ascii="Book Antiqua" w:hAnsi="Book Antiqua" w:cstheme="majorBidi"/>
          <w:sz w:val="24"/>
          <w:szCs w:val="24"/>
          <w:lang w:val="en-US"/>
        </w:rPr>
        <w:t>,</w:t>
      </w:r>
      <w:r w:rsidRPr="00F503D7">
        <w:rPr>
          <w:rFonts w:ascii="Book Antiqua" w:hAnsi="Book Antiqua" w:cstheme="majorBidi"/>
          <w:sz w:val="24"/>
          <w:szCs w:val="24"/>
        </w:rPr>
        <w:t xml:space="preserve"> Brian Jati. 2021.</w:t>
      </w:r>
      <w:r w:rsidRPr="00F503D7">
        <w:rPr>
          <w:rFonts w:ascii="Book Antiqua" w:hAnsi="Book Antiqua" w:cstheme="majorBidi"/>
          <w:sz w:val="24"/>
          <w:szCs w:val="24"/>
          <w:lang w:val="en-US"/>
        </w:rPr>
        <w:t xml:space="preserve"> </w:t>
      </w:r>
      <w:r w:rsidRPr="00F503D7">
        <w:rPr>
          <w:rStyle w:val="Penekanan"/>
          <w:rFonts w:ascii="Book Antiqua" w:hAnsi="Book Antiqua" w:cstheme="majorBidi"/>
          <w:sz w:val="24"/>
          <w:szCs w:val="24"/>
        </w:rPr>
        <w:t>Tinjauan Yuridis: Hak Asuh Anak Bercerai Beda</w:t>
      </w:r>
    </w:p>
    <w:p w14:paraId="272BCE59" w14:textId="77777777" w:rsidR="00D86C52" w:rsidRPr="00F503D7" w:rsidRDefault="00D86C52" w:rsidP="00D86C52">
      <w:pPr>
        <w:spacing w:after="0" w:line="360" w:lineRule="auto"/>
        <w:ind w:left="720" w:right="-1" w:firstLine="720"/>
        <w:jc w:val="both"/>
        <w:rPr>
          <w:rFonts w:ascii="Book Antiqua" w:hAnsi="Book Antiqua" w:cstheme="majorBidi"/>
          <w:sz w:val="24"/>
          <w:szCs w:val="24"/>
        </w:rPr>
      </w:pPr>
      <w:r w:rsidRPr="00F503D7">
        <w:rPr>
          <w:rStyle w:val="Penekanan"/>
          <w:rFonts w:ascii="Book Antiqua" w:hAnsi="Book Antiqua" w:cstheme="majorBidi"/>
          <w:sz w:val="24"/>
          <w:szCs w:val="24"/>
        </w:rPr>
        <w:t>Agama (Studi Kasus PA Depok No. 0595/Pdt.G/2013/PA.DPK)</w:t>
      </w:r>
      <w:r w:rsidRPr="00F503D7">
        <w:rPr>
          <w:rFonts w:ascii="Book Antiqua" w:hAnsi="Book Antiqua" w:cstheme="majorBidi"/>
          <w:i/>
          <w:iCs/>
          <w:sz w:val="24"/>
          <w:szCs w:val="24"/>
        </w:rPr>
        <w:t xml:space="preserve">. </w:t>
      </w:r>
      <w:r w:rsidRPr="00F503D7">
        <w:rPr>
          <w:rFonts w:ascii="Book Antiqua" w:hAnsi="Book Antiqua" w:cstheme="majorBidi"/>
          <w:sz w:val="24"/>
          <w:szCs w:val="24"/>
        </w:rPr>
        <w:t>Skripsi.</w:t>
      </w:r>
    </w:p>
    <w:p w14:paraId="2839FBF0" w14:textId="77777777" w:rsidR="00D86C52" w:rsidRPr="00F503D7" w:rsidRDefault="00D86C52" w:rsidP="00D86C52">
      <w:pPr>
        <w:spacing w:after="0" w:line="360" w:lineRule="auto"/>
        <w:ind w:left="720" w:right="-1" w:firstLine="720"/>
        <w:jc w:val="both"/>
        <w:rPr>
          <w:rFonts w:ascii="Book Antiqua" w:hAnsi="Book Antiqua" w:cstheme="majorBidi"/>
          <w:sz w:val="24"/>
          <w:szCs w:val="24"/>
        </w:rPr>
      </w:pPr>
      <w:r w:rsidRPr="00F503D7">
        <w:rPr>
          <w:rFonts w:ascii="Book Antiqua" w:hAnsi="Book Antiqua" w:cstheme="majorBidi"/>
          <w:sz w:val="24"/>
          <w:szCs w:val="24"/>
        </w:rPr>
        <w:t>Fakultas Hukum, Universitas Sebelas Maret</w:t>
      </w:r>
    </w:p>
    <w:p w14:paraId="3B8E916A" w14:textId="7A08372F" w:rsidR="00D86C52" w:rsidRPr="00F503D7" w:rsidRDefault="00D86C52" w:rsidP="00D86C52">
      <w:pPr>
        <w:spacing w:after="0" w:line="360" w:lineRule="auto"/>
        <w:ind w:left="720" w:right="-1" w:firstLine="720"/>
        <w:jc w:val="both"/>
        <w:rPr>
          <w:rFonts w:ascii="Book Antiqua" w:hAnsi="Book Antiqua" w:cstheme="majorBidi"/>
          <w:sz w:val="24"/>
          <w:szCs w:val="24"/>
        </w:rPr>
      </w:pPr>
      <w:r w:rsidRPr="00F503D7">
        <w:rPr>
          <w:rFonts w:ascii="Book Antiqua" w:hAnsi="Book Antiqua" w:cstheme="majorBidi"/>
          <w:sz w:val="24"/>
          <w:szCs w:val="24"/>
        </w:rPr>
        <w:t>Penjelasan UU. Sisdiknas No. 20 tahun 2003</w:t>
      </w:r>
    </w:p>
    <w:p w14:paraId="676D5B68" w14:textId="77777777" w:rsidR="00D86C52" w:rsidRPr="00F503D7" w:rsidRDefault="00D86C52" w:rsidP="00D86C52">
      <w:pPr>
        <w:pStyle w:val="TeksCatatanKaki"/>
        <w:spacing w:line="360" w:lineRule="auto"/>
        <w:ind w:left="720"/>
        <w:jc w:val="both"/>
        <w:rPr>
          <w:rStyle w:val="Kuat"/>
          <w:rFonts w:ascii="Book Antiqua" w:hAnsi="Book Antiqua" w:cstheme="majorBidi"/>
          <w:b w:val="0"/>
          <w:bCs w:val="0"/>
          <w:sz w:val="24"/>
          <w:szCs w:val="24"/>
        </w:rPr>
      </w:pPr>
      <w:r w:rsidRPr="00F503D7">
        <w:rPr>
          <w:rFonts w:ascii="Book Antiqua" w:hAnsi="Book Antiqua" w:cstheme="majorBidi"/>
          <w:sz w:val="24"/>
          <w:szCs w:val="24"/>
        </w:rPr>
        <w:t xml:space="preserve">Sri Mamudji, dan Soerjono Soekanto </w:t>
      </w:r>
      <w:r w:rsidRPr="00F503D7">
        <w:rPr>
          <w:rStyle w:val="Kuat"/>
          <w:rFonts w:ascii="Book Antiqua" w:hAnsi="Book Antiqua" w:cstheme="majorBidi"/>
          <w:b w:val="0"/>
          <w:bCs w:val="0"/>
          <w:sz w:val="24"/>
          <w:szCs w:val="24"/>
        </w:rPr>
        <w:t>Penelitian Hukum Normatif: Suatu Tinjauan</w:t>
      </w:r>
    </w:p>
    <w:p w14:paraId="6958A50E" w14:textId="77777777" w:rsidR="00D86C52" w:rsidRPr="00F503D7" w:rsidRDefault="00D86C52" w:rsidP="00D86C52">
      <w:pPr>
        <w:pStyle w:val="TeksCatatanKaki"/>
        <w:spacing w:line="360" w:lineRule="auto"/>
        <w:ind w:left="720" w:firstLine="720"/>
        <w:jc w:val="both"/>
        <w:rPr>
          <w:rFonts w:ascii="Book Antiqua" w:hAnsi="Book Antiqua" w:cstheme="majorBidi"/>
          <w:sz w:val="24"/>
          <w:szCs w:val="24"/>
        </w:rPr>
      </w:pPr>
      <w:r w:rsidRPr="00F503D7">
        <w:rPr>
          <w:rStyle w:val="Kuat"/>
          <w:rFonts w:ascii="Book Antiqua" w:hAnsi="Book Antiqua" w:cstheme="majorBidi"/>
          <w:b w:val="0"/>
          <w:bCs w:val="0"/>
          <w:sz w:val="24"/>
          <w:szCs w:val="24"/>
        </w:rPr>
        <w:t>Singkat</w:t>
      </w:r>
      <w:r w:rsidRPr="00F503D7">
        <w:rPr>
          <w:rFonts w:ascii="Book Antiqua" w:hAnsi="Book Antiqua" w:cstheme="majorBidi"/>
          <w:b/>
          <w:bCs/>
          <w:sz w:val="24"/>
          <w:szCs w:val="24"/>
        </w:rPr>
        <w:t xml:space="preserve">. </w:t>
      </w:r>
      <w:r w:rsidRPr="00F503D7">
        <w:rPr>
          <w:rFonts w:ascii="Book Antiqua" w:hAnsi="Book Antiqua" w:cstheme="majorBidi"/>
          <w:sz w:val="24"/>
          <w:szCs w:val="24"/>
        </w:rPr>
        <w:t>2010. Jakarta: Rajawali Pers, 2010</w:t>
      </w:r>
    </w:p>
    <w:p w14:paraId="08C10918" w14:textId="77777777" w:rsidR="00D86C52" w:rsidRPr="00F503D7" w:rsidRDefault="00D86C52" w:rsidP="00D86C52">
      <w:pPr>
        <w:pStyle w:val="TeksCatatanKaki"/>
        <w:spacing w:line="360" w:lineRule="auto"/>
        <w:ind w:left="720"/>
        <w:jc w:val="both"/>
        <w:rPr>
          <w:rFonts w:ascii="Book Antiqua" w:hAnsi="Book Antiqua" w:cstheme="majorBidi"/>
          <w:sz w:val="24"/>
          <w:szCs w:val="24"/>
        </w:rPr>
      </w:pPr>
      <w:r w:rsidRPr="00F503D7">
        <w:rPr>
          <w:rFonts w:ascii="Book Antiqua" w:hAnsi="Book Antiqua" w:cstheme="majorBidi"/>
          <w:sz w:val="24"/>
          <w:szCs w:val="24"/>
        </w:rPr>
        <w:t xml:space="preserve">Marzuki, Peter Mahmud.2017. </w:t>
      </w:r>
      <w:r w:rsidRPr="00F503D7">
        <w:rPr>
          <w:rStyle w:val="Penekanan"/>
          <w:rFonts w:ascii="Book Antiqua" w:hAnsi="Book Antiqua" w:cstheme="majorBidi"/>
          <w:sz w:val="24"/>
          <w:szCs w:val="24"/>
        </w:rPr>
        <w:t>Penelitian Hukum</w:t>
      </w:r>
      <w:r w:rsidRPr="00F503D7">
        <w:rPr>
          <w:rFonts w:ascii="Book Antiqua" w:hAnsi="Book Antiqua" w:cstheme="majorBidi"/>
          <w:sz w:val="24"/>
          <w:szCs w:val="24"/>
        </w:rPr>
        <w:t>. Jakarta: Kencana</w:t>
      </w:r>
    </w:p>
    <w:p w14:paraId="70868C9F" w14:textId="77777777" w:rsidR="00D86C52" w:rsidRPr="00F503D7" w:rsidRDefault="00D86C52" w:rsidP="00D86C52">
      <w:pPr>
        <w:pStyle w:val="TeksCatatanKaki"/>
        <w:spacing w:line="360" w:lineRule="auto"/>
        <w:ind w:left="720"/>
        <w:jc w:val="both"/>
        <w:rPr>
          <w:rStyle w:val="Penekanan"/>
          <w:rFonts w:ascii="Book Antiqua" w:hAnsi="Book Antiqua" w:cstheme="majorBidi"/>
          <w:sz w:val="24"/>
          <w:szCs w:val="24"/>
        </w:rPr>
      </w:pPr>
      <w:r w:rsidRPr="00F503D7">
        <w:rPr>
          <w:rFonts w:ascii="Book Antiqua" w:hAnsi="Book Antiqua" w:cstheme="majorBidi"/>
          <w:sz w:val="24"/>
          <w:szCs w:val="24"/>
        </w:rPr>
        <w:t xml:space="preserve">Rahmansyah, Masrur. 2016.  </w:t>
      </w:r>
      <w:r w:rsidRPr="00F503D7">
        <w:rPr>
          <w:rStyle w:val="Penekanan"/>
          <w:rFonts w:ascii="Book Antiqua" w:hAnsi="Book Antiqua" w:cstheme="majorBidi"/>
          <w:sz w:val="24"/>
          <w:szCs w:val="24"/>
        </w:rPr>
        <w:t>Hak Asuh Anak Terhadap Orang Tua yang Bercerai</w:t>
      </w:r>
    </w:p>
    <w:p w14:paraId="74CDA4B9" w14:textId="77777777" w:rsidR="00D86C52" w:rsidRPr="00F503D7" w:rsidRDefault="00D86C52" w:rsidP="00D86C52">
      <w:pPr>
        <w:pStyle w:val="TeksCatatanKaki"/>
        <w:spacing w:line="360" w:lineRule="auto"/>
        <w:ind w:left="720" w:firstLine="720"/>
        <w:jc w:val="both"/>
        <w:rPr>
          <w:rFonts w:ascii="Book Antiqua" w:hAnsi="Book Antiqua" w:cstheme="majorBidi"/>
          <w:sz w:val="24"/>
          <w:szCs w:val="24"/>
        </w:rPr>
      </w:pPr>
      <w:r w:rsidRPr="00F503D7">
        <w:rPr>
          <w:rStyle w:val="Penekanan"/>
          <w:rFonts w:ascii="Book Antiqua" w:hAnsi="Book Antiqua" w:cstheme="majorBidi"/>
          <w:sz w:val="24"/>
          <w:szCs w:val="24"/>
        </w:rPr>
        <w:t>Karena Berbeda Agama</w:t>
      </w:r>
      <w:r w:rsidRPr="00F503D7">
        <w:rPr>
          <w:rFonts w:ascii="Book Antiqua" w:hAnsi="Book Antiqua" w:cstheme="majorBidi"/>
          <w:sz w:val="24"/>
          <w:szCs w:val="24"/>
        </w:rPr>
        <w:t>. Skripsi UIN Jakarta</w:t>
      </w:r>
    </w:p>
    <w:p w14:paraId="10353BE1" w14:textId="77777777" w:rsidR="00D86C52" w:rsidRPr="00F503D7" w:rsidRDefault="00D86C52" w:rsidP="00D86C52">
      <w:pPr>
        <w:pStyle w:val="TeksCatatanKaki"/>
        <w:spacing w:line="360" w:lineRule="auto"/>
        <w:ind w:left="720"/>
        <w:jc w:val="both"/>
        <w:rPr>
          <w:rFonts w:ascii="Book Antiqua" w:hAnsi="Book Antiqua" w:cstheme="majorBidi"/>
          <w:sz w:val="24"/>
          <w:szCs w:val="24"/>
        </w:rPr>
      </w:pPr>
      <w:r w:rsidRPr="00F503D7">
        <w:rPr>
          <w:rFonts w:ascii="Book Antiqua" w:hAnsi="Book Antiqua" w:cstheme="majorBidi"/>
          <w:sz w:val="24"/>
          <w:szCs w:val="24"/>
        </w:rPr>
        <w:t>Undang-Undang Republik Indonesia Nomor 35 Tahun 2014 tentang Perlindungan</w:t>
      </w:r>
    </w:p>
    <w:p w14:paraId="6546E527" w14:textId="77777777" w:rsidR="00D86C52" w:rsidRPr="00F503D7" w:rsidRDefault="00D86C52" w:rsidP="00D86C52">
      <w:pPr>
        <w:pStyle w:val="TeksCatatanKaki"/>
        <w:spacing w:line="360" w:lineRule="auto"/>
        <w:ind w:left="720" w:firstLine="720"/>
        <w:jc w:val="both"/>
        <w:rPr>
          <w:rFonts w:ascii="Book Antiqua" w:hAnsi="Book Antiqua" w:cstheme="majorBidi"/>
          <w:sz w:val="24"/>
          <w:szCs w:val="24"/>
        </w:rPr>
      </w:pPr>
      <w:r w:rsidRPr="00F503D7">
        <w:rPr>
          <w:rFonts w:ascii="Book Antiqua" w:hAnsi="Book Antiqua" w:cstheme="majorBidi"/>
          <w:sz w:val="24"/>
          <w:szCs w:val="24"/>
        </w:rPr>
        <w:t>Anak</w:t>
      </w:r>
    </w:p>
    <w:p w14:paraId="0461406C" w14:textId="77777777" w:rsidR="00D86C52" w:rsidRPr="00F503D7" w:rsidRDefault="00D86C52" w:rsidP="00D86C52">
      <w:pPr>
        <w:spacing w:after="0" w:line="360" w:lineRule="auto"/>
        <w:ind w:right="-1" w:firstLine="720"/>
        <w:jc w:val="both"/>
        <w:rPr>
          <w:rFonts w:ascii="Book Antiqua" w:hAnsi="Book Antiqua" w:cstheme="majorBidi"/>
          <w:sz w:val="24"/>
          <w:szCs w:val="24"/>
        </w:rPr>
      </w:pPr>
    </w:p>
    <w:p w14:paraId="7C617B52" w14:textId="0CDFBEEB" w:rsidR="00D86C52" w:rsidRPr="00F503D7" w:rsidRDefault="006A2FDC" w:rsidP="006A2FDC">
      <w:pPr>
        <w:tabs>
          <w:tab w:val="left" w:pos="2940"/>
        </w:tabs>
        <w:spacing w:after="0" w:line="360" w:lineRule="auto"/>
        <w:rPr>
          <w:rFonts w:ascii="Book Antiqua" w:hAnsi="Book Antiqua" w:cstheme="majorBidi"/>
          <w:b/>
          <w:bCs/>
          <w:sz w:val="24"/>
          <w:szCs w:val="24"/>
        </w:rPr>
      </w:pPr>
      <w:r>
        <w:rPr>
          <w:rFonts w:ascii="Book Antiqua" w:hAnsi="Book Antiqua" w:cstheme="majorBidi"/>
          <w:b/>
          <w:bCs/>
          <w:sz w:val="24"/>
          <w:szCs w:val="24"/>
        </w:rPr>
        <w:tab/>
      </w:r>
    </w:p>
    <w:sectPr w:rsidR="00D86C52" w:rsidRPr="00F503D7" w:rsidSect="00443BC6">
      <w:footerReference w:type="default" r:id="rId8"/>
      <w:pgSz w:w="11906" w:h="16838" w:code="9"/>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4FAD" w14:textId="77777777" w:rsidR="00E84A70" w:rsidRDefault="00E84A70" w:rsidP="00F6041F">
      <w:pPr>
        <w:spacing w:after="0" w:line="240" w:lineRule="auto"/>
      </w:pPr>
      <w:r>
        <w:separator/>
      </w:r>
    </w:p>
  </w:endnote>
  <w:endnote w:type="continuationSeparator" w:id="0">
    <w:p w14:paraId="28A8D6C7" w14:textId="77777777" w:rsidR="00E84A70" w:rsidRDefault="00E84A70" w:rsidP="00F6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3640" w14:textId="0113049A" w:rsidR="00B8422C" w:rsidRDefault="00B8422C">
    <w:pPr>
      <w:pStyle w:val="Footer"/>
    </w:pPr>
    <w:r>
      <w:t xml:space="preserve">                                                                                                                                                          </w:t>
    </w: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BC6E" w14:textId="77777777" w:rsidR="00E84A70" w:rsidRDefault="00E84A70" w:rsidP="00F6041F">
      <w:pPr>
        <w:spacing w:after="0" w:line="240" w:lineRule="auto"/>
      </w:pPr>
      <w:r>
        <w:separator/>
      </w:r>
    </w:p>
  </w:footnote>
  <w:footnote w:type="continuationSeparator" w:id="0">
    <w:p w14:paraId="323EA2C0" w14:textId="77777777" w:rsidR="00E84A70" w:rsidRDefault="00E84A70" w:rsidP="00F60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F6445"/>
    <w:multiLevelType w:val="hybridMultilevel"/>
    <w:tmpl w:val="2D207C52"/>
    <w:lvl w:ilvl="0" w:tplc="DDC220C0">
      <w:start w:val="1"/>
      <w:numFmt w:val="decimal"/>
      <w:lvlText w:val="%1."/>
      <w:lvlJc w:val="center"/>
      <w:pPr>
        <w:ind w:left="1866"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057587A"/>
    <w:multiLevelType w:val="hybridMultilevel"/>
    <w:tmpl w:val="74A685DC"/>
    <w:lvl w:ilvl="0" w:tplc="B0C0462C">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15:restartNumberingAfterBreak="0">
    <w:nsid w:val="622C7F70"/>
    <w:multiLevelType w:val="hybridMultilevel"/>
    <w:tmpl w:val="6428CFE8"/>
    <w:lvl w:ilvl="0" w:tplc="3376ADFE">
      <w:start w:val="1"/>
      <w:numFmt w:val="upperLetter"/>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16cid:durableId="974457203">
    <w:abstractNumId w:val="1"/>
  </w:num>
  <w:num w:numId="2" w16cid:durableId="1054812292">
    <w:abstractNumId w:val="2"/>
  </w:num>
  <w:num w:numId="3" w16cid:durableId="109709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69"/>
    <w:rsid w:val="000005C5"/>
    <w:rsid w:val="000D40DB"/>
    <w:rsid w:val="00103FC0"/>
    <w:rsid w:val="00443BC6"/>
    <w:rsid w:val="004C3FB5"/>
    <w:rsid w:val="0063706B"/>
    <w:rsid w:val="006604FC"/>
    <w:rsid w:val="006A2FDC"/>
    <w:rsid w:val="006E3BBF"/>
    <w:rsid w:val="006F380D"/>
    <w:rsid w:val="00AC4DDD"/>
    <w:rsid w:val="00B8422C"/>
    <w:rsid w:val="00BB4FB8"/>
    <w:rsid w:val="00D30C69"/>
    <w:rsid w:val="00D86C52"/>
    <w:rsid w:val="00E41DAA"/>
    <w:rsid w:val="00E84A70"/>
    <w:rsid w:val="00EF50DD"/>
    <w:rsid w:val="00F503D7"/>
    <w:rsid w:val="00F604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CE0D1"/>
  <w15:chartTrackingRefBased/>
  <w15:docId w15:val="{63D6851F-E434-40EE-87AE-21C8C95A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C69"/>
    <w:pPr>
      <w:spacing w:after="200" w:line="276" w:lineRule="auto"/>
    </w:pPr>
    <w:rPr>
      <w:lang w:val="id-ID"/>
    </w:rPr>
  </w:style>
  <w:style w:type="paragraph" w:styleId="Judul1">
    <w:name w:val="heading 1"/>
    <w:basedOn w:val="Normal"/>
    <w:link w:val="Judul1KAR"/>
    <w:uiPriority w:val="9"/>
    <w:qFormat/>
    <w:rsid w:val="000005C5"/>
    <w:pPr>
      <w:widowControl w:val="0"/>
      <w:autoSpaceDE w:val="0"/>
      <w:autoSpaceDN w:val="0"/>
      <w:spacing w:after="0" w:line="240" w:lineRule="auto"/>
      <w:ind w:left="139"/>
      <w:outlineLvl w:val="0"/>
    </w:pPr>
    <w:rPr>
      <w:rFonts w:ascii="Palatino Linotype" w:eastAsia="Palatino Linotype" w:hAnsi="Palatino Linotype" w:cs="Palatino Linotype"/>
      <w:b/>
      <w:bCs/>
      <w:lang w:val="en-US"/>
    </w:rPr>
  </w:style>
  <w:style w:type="paragraph" w:styleId="Judul2">
    <w:name w:val="heading 2"/>
    <w:basedOn w:val="Normal"/>
    <w:link w:val="Judul2KAR"/>
    <w:uiPriority w:val="9"/>
    <w:unhideWhenUsed/>
    <w:qFormat/>
    <w:rsid w:val="000005C5"/>
    <w:pPr>
      <w:widowControl w:val="0"/>
      <w:autoSpaceDE w:val="0"/>
      <w:autoSpaceDN w:val="0"/>
      <w:spacing w:after="0" w:line="240" w:lineRule="auto"/>
      <w:ind w:left="139"/>
      <w:outlineLvl w:val="1"/>
    </w:pPr>
    <w:rPr>
      <w:rFonts w:ascii="Palatino Linotype" w:eastAsia="Palatino Linotype" w:hAnsi="Palatino Linotype" w:cs="Palatino Linotype"/>
      <w:b/>
      <w:bCs/>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D30C69"/>
    <w:rPr>
      <w:color w:val="0563C1" w:themeColor="hyperlink"/>
      <w:u w:val="single"/>
    </w:rPr>
  </w:style>
  <w:style w:type="character" w:styleId="SebutanYangBelumTerselesaikan">
    <w:name w:val="Unresolved Mention"/>
    <w:basedOn w:val="FontParagrafDefault"/>
    <w:uiPriority w:val="99"/>
    <w:semiHidden/>
    <w:unhideWhenUsed/>
    <w:rsid w:val="00D30C69"/>
    <w:rPr>
      <w:color w:val="605E5C"/>
      <w:shd w:val="clear" w:color="auto" w:fill="E1DFDD"/>
    </w:rPr>
  </w:style>
  <w:style w:type="paragraph" w:styleId="DaftarParagraf">
    <w:name w:val="List Paragraph"/>
    <w:basedOn w:val="Normal"/>
    <w:uiPriority w:val="1"/>
    <w:qFormat/>
    <w:rsid w:val="00F6041F"/>
    <w:pPr>
      <w:ind w:left="720"/>
      <w:contextualSpacing/>
    </w:pPr>
  </w:style>
  <w:style w:type="paragraph" w:styleId="TeksCatatanKaki">
    <w:name w:val="footnote text"/>
    <w:basedOn w:val="Normal"/>
    <w:link w:val="TeksCatatanKakiKAR"/>
    <w:uiPriority w:val="99"/>
    <w:unhideWhenUsed/>
    <w:rsid w:val="00F6041F"/>
    <w:pPr>
      <w:spacing w:after="0" w:line="240" w:lineRule="auto"/>
    </w:pPr>
    <w:rPr>
      <w:sz w:val="20"/>
      <w:szCs w:val="20"/>
    </w:rPr>
  </w:style>
  <w:style w:type="character" w:customStyle="1" w:styleId="TeksCatatanKakiKAR">
    <w:name w:val="Teks Catatan Kaki KAR"/>
    <w:basedOn w:val="FontParagrafDefault"/>
    <w:link w:val="TeksCatatanKaki"/>
    <w:uiPriority w:val="99"/>
    <w:rsid w:val="00F6041F"/>
    <w:rPr>
      <w:sz w:val="20"/>
      <w:szCs w:val="20"/>
      <w:lang w:val="id-ID"/>
    </w:rPr>
  </w:style>
  <w:style w:type="character" w:styleId="ReferensiCatatanKaki">
    <w:name w:val="footnote reference"/>
    <w:basedOn w:val="FontParagrafDefault"/>
    <w:uiPriority w:val="99"/>
    <w:semiHidden/>
    <w:unhideWhenUsed/>
    <w:rsid w:val="00F6041F"/>
    <w:rPr>
      <w:vertAlign w:val="superscript"/>
    </w:rPr>
  </w:style>
  <w:style w:type="character" w:customStyle="1" w:styleId="Judul1KAR">
    <w:name w:val="Judul 1 KAR"/>
    <w:basedOn w:val="FontParagrafDefault"/>
    <w:link w:val="Judul1"/>
    <w:uiPriority w:val="9"/>
    <w:rsid w:val="000005C5"/>
    <w:rPr>
      <w:rFonts w:ascii="Palatino Linotype" w:eastAsia="Palatino Linotype" w:hAnsi="Palatino Linotype" w:cs="Palatino Linotype"/>
      <w:b/>
      <w:bCs/>
      <w:lang w:val="en-US"/>
    </w:rPr>
  </w:style>
  <w:style w:type="character" w:customStyle="1" w:styleId="Judul2KAR">
    <w:name w:val="Judul 2 KAR"/>
    <w:basedOn w:val="FontParagrafDefault"/>
    <w:link w:val="Judul2"/>
    <w:uiPriority w:val="9"/>
    <w:rsid w:val="000005C5"/>
    <w:rPr>
      <w:rFonts w:ascii="Palatino Linotype" w:eastAsia="Palatino Linotype" w:hAnsi="Palatino Linotype" w:cs="Palatino Linotype"/>
      <w:b/>
      <w:bCs/>
      <w:lang w:val="en-US"/>
    </w:rPr>
  </w:style>
  <w:style w:type="character" w:styleId="Penekanan">
    <w:name w:val="Emphasis"/>
    <w:basedOn w:val="FontParagrafDefault"/>
    <w:uiPriority w:val="20"/>
    <w:qFormat/>
    <w:rsid w:val="00D86C52"/>
    <w:rPr>
      <w:i/>
      <w:iCs/>
    </w:rPr>
  </w:style>
  <w:style w:type="character" w:styleId="Kuat">
    <w:name w:val="Strong"/>
    <w:basedOn w:val="FontParagrafDefault"/>
    <w:uiPriority w:val="22"/>
    <w:qFormat/>
    <w:rsid w:val="00D86C52"/>
    <w:rPr>
      <w:b/>
      <w:bCs/>
    </w:rPr>
  </w:style>
  <w:style w:type="paragraph" w:styleId="Header">
    <w:name w:val="header"/>
    <w:basedOn w:val="Normal"/>
    <w:link w:val="HeaderKAR"/>
    <w:uiPriority w:val="99"/>
    <w:unhideWhenUsed/>
    <w:rsid w:val="00B8422C"/>
    <w:pPr>
      <w:tabs>
        <w:tab w:val="center" w:pos="4513"/>
        <w:tab w:val="right" w:pos="9026"/>
      </w:tabs>
      <w:spacing w:after="0" w:line="240" w:lineRule="auto"/>
    </w:pPr>
  </w:style>
  <w:style w:type="character" w:customStyle="1" w:styleId="HeaderKAR">
    <w:name w:val="Header KAR"/>
    <w:basedOn w:val="FontParagrafDefault"/>
    <w:link w:val="Header"/>
    <w:uiPriority w:val="99"/>
    <w:rsid w:val="00B8422C"/>
    <w:rPr>
      <w:lang w:val="id-ID"/>
    </w:rPr>
  </w:style>
  <w:style w:type="paragraph" w:styleId="Footer">
    <w:name w:val="footer"/>
    <w:basedOn w:val="Normal"/>
    <w:link w:val="FooterKAR"/>
    <w:uiPriority w:val="99"/>
    <w:unhideWhenUsed/>
    <w:rsid w:val="00B8422C"/>
    <w:pPr>
      <w:tabs>
        <w:tab w:val="center" w:pos="4513"/>
        <w:tab w:val="right" w:pos="9026"/>
      </w:tabs>
      <w:spacing w:after="0" w:line="240" w:lineRule="auto"/>
    </w:pPr>
  </w:style>
  <w:style w:type="character" w:customStyle="1" w:styleId="FooterKAR">
    <w:name w:val="Footer KAR"/>
    <w:basedOn w:val="FontParagrafDefault"/>
    <w:link w:val="Footer"/>
    <w:uiPriority w:val="99"/>
    <w:rsid w:val="00B8422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shaniadindasalvn@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shaniadindasalvn@gmail.com</dc:creator>
  <cp:keywords/>
  <dc:description/>
  <cp:lastModifiedBy>shaniadindasalvn@gmail.com</cp:lastModifiedBy>
  <cp:revision>2</cp:revision>
  <dcterms:created xsi:type="dcterms:W3CDTF">2025-10-27T04:26:00Z</dcterms:created>
  <dcterms:modified xsi:type="dcterms:W3CDTF">2025-10-27T04:26:00Z</dcterms:modified>
</cp:coreProperties>
</file>