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1D649" w14:textId="77777777" w:rsidR="001B61D6" w:rsidRDefault="001B61D6" w:rsidP="001B61D6">
      <w:pPr>
        <w:spacing w:after="278" w:line="265" w:lineRule="auto"/>
        <w:ind w:left="657" w:right="707"/>
        <w:jc w:val="center"/>
      </w:pPr>
      <w:r>
        <w:rPr>
          <w:b/>
        </w:rPr>
        <w:t>ABSTRAK</w:t>
      </w:r>
    </w:p>
    <w:p w14:paraId="20566C7D" w14:textId="77777777" w:rsidR="001B61D6" w:rsidRDefault="001B61D6" w:rsidP="001B61D6">
      <w:pPr>
        <w:tabs>
          <w:tab w:val="center" w:pos="2698"/>
        </w:tabs>
        <w:spacing w:line="259" w:lineRule="auto"/>
        <w:ind w:left="0" w:right="0" w:firstLine="0"/>
        <w:jc w:val="left"/>
      </w:pPr>
      <w:r>
        <w:t xml:space="preserve">Nama   </w:t>
      </w:r>
      <w:r>
        <w:tab/>
        <w:t xml:space="preserve">: Riska Ayu Setyaningrum </w:t>
      </w:r>
    </w:p>
    <w:p w14:paraId="2E8CB334" w14:textId="77777777" w:rsidR="001B61D6" w:rsidRDefault="001B61D6" w:rsidP="001B61D6">
      <w:pPr>
        <w:tabs>
          <w:tab w:val="center" w:pos="721"/>
          <w:tab w:val="center" w:pos="2158"/>
        </w:tabs>
        <w:spacing w:line="259" w:lineRule="auto"/>
        <w:ind w:left="0" w:right="0" w:firstLine="0"/>
        <w:jc w:val="left"/>
      </w:pPr>
      <w:r>
        <w:t xml:space="preserve">NIM </w:t>
      </w:r>
      <w:r>
        <w:tab/>
        <w:t xml:space="preserve"> </w:t>
      </w:r>
      <w:r>
        <w:tab/>
        <w:t xml:space="preserve">: 21107710038 </w:t>
      </w:r>
    </w:p>
    <w:p w14:paraId="66C3A9C8" w14:textId="77777777" w:rsidR="001B61D6" w:rsidRDefault="001B61D6" w:rsidP="001B61D6">
      <w:pPr>
        <w:spacing w:line="237" w:lineRule="auto"/>
        <w:ind w:left="1561" w:right="8" w:hanging="1561"/>
      </w:pPr>
      <w:r>
        <w:t xml:space="preserve">Judul              : Analisis Yuridis Pengaturan Pidana Tambahan Pembatasan Gerak Pelaku Terhadap Korban Dalam Pasal 50 A Undang-Undang </w:t>
      </w:r>
    </w:p>
    <w:p w14:paraId="7B5539F7" w14:textId="77777777" w:rsidR="001B61D6" w:rsidRDefault="001B61D6" w:rsidP="001B61D6">
      <w:pPr>
        <w:spacing w:after="0" w:line="259" w:lineRule="auto"/>
        <w:ind w:left="298" w:right="64"/>
        <w:jc w:val="right"/>
      </w:pPr>
      <w:r>
        <w:t xml:space="preserve">Nomor 23 Tahun 2004 Tentang Penghapusan Kekerasan Dalam </w:t>
      </w:r>
    </w:p>
    <w:p w14:paraId="0F9DB08B" w14:textId="77777777" w:rsidR="001B61D6" w:rsidRDefault="001B61D6" w:rsidP="001B61D6">
      <w:pPr>
        <w:spacing w:line="259" w:lineRule="auto"/>
        <w:ind w:left="1571" w:right="8"/>
      </w:pPr>
      <w:r>
        <w:t xml:space="preserve">Rumah Tangga </w:t>
      </w:r>
    </w:p>
    <w:p w14:paraId="2F8A890F" w14:textId="77777777" w:rsidR="001B61D6" w:rsidRDefault="001B61D6" w:rsidP="001B61D6">
      <w:pPr>
        <w:spacing w:line="259" w:lineRule="auto"/>
        <w:ind w:right="8"/>
      </w:pPr>
      <w:r>
        <w:t xml:space="preserve">Pembimbing     : Dr.Kasiani, S.H.,M.H (Pembimbing I) </w:t>
      </w:r>
    </w:p>
    <w:p w14:paraId="70B8BFA4" w14:textId="77777777" w:rsidR="001B61D6" w:rsidRDefault="001B61D6" w:rsidP="001B61D6">
      <w:pPr>
        <w:spacing w:after="0" w:line="265" w:lineRule="auto"/>
        <w:ind w:left="894" w:right="874"/>
        <w:jc w:val="center"/>
      </w:pPr>
      <w:r>
        <w:t xml:space="preserve">Fitriyah Nurrahmah, S.H.I., M.H. (Pembimbing II) </w:t>
      </w:r>
    </w:p>
    <w:p w14:paraId="7A9CE372" w14:textId="77777777" w:rsidR="001B61D6" w:rsidRDefault="001B61D6" w:rsidP="001B61D6">
      <w:pPr>
        <w:tabs>
          <w:tab w:val="center" w:pos="3788"/>
        </w:tabs>
        <w:spacing w:line="259" w:lineRule="auto"/>
        <w:ind w:left="0" w:right="0" w:firstLine="0"/>
        <w:jc w:val="left"/>
      </w:pPr>
      <w:r>
        <w:t xml:space="preserve">Kata Kunci  </w:t>
      </w:r>
      <w:r>
        <w:tab/>
        <w:t xml:space="preserve">: KDRT, Pidana Tambahan, Kemanfaatan hukum </w:t>
      </w:r>
    </w:p>
    <w:p w14:paraId="6FCE89C4" w14:textId="77777777" w:rsidR="001B61D6" w:rsidRDefault="001B61D6" w:rsidP="001B61D6">
      <w:pPr>
        <w:spacing w:after="0" w:line="259" w:lineRule="auto"/>
        <w:ind w:left="0" w:right="0" w:firstLine="0"/>
        <w:jc w:val="left"/>
      </w:pPr>
      <w:r>
        <w:t xml:space="preserve"> </w:t>
      </w:r>
    </w:p>
    <w:p w14:paraId="6188200F" w14:textId="77777777" w:rsidR="001B61D6" w:rsidRDefault="001B61D6" w:rsidP="001B61D6">
      <w:pPr>
        <w:spacing w:line="274" w:lineRule="auto"/>
        <w:ind w:left="0" w:right="8" w:firstLine="721"/>
      </w:pPr>
      <w:r>
        <w:t xml:space="preserve">KDRT merupakan merupakan tindak pidana kekerasan yang berdampak serius terhadap kondisi fisik, psikis dan sosial korban dalam lingkup rumah tangga. UU PKDRT mengatur sanksi pidana pokok dan pidana tambahan. Penelitian ini mengkaji pengaturan pidana tambahan pasal 50 huruf a UU PKDRT frasa “pembatasan gerak pelaku terhadap korban” yang dinilai tumpang tindih dengan pidana pokok berupa penjara yang telah diatur dalam Pasal 44 hingga Pasal 49. Sehingga menimbulkan pertanyaan mengenai kemanfaatannya bagi perlindungan korban KDRT. Berdasarkan permasalahan tersebut, penelitian ini merumuskan dua pokok masalah, yaitu: (1) Apakah Pasal 50 huruf a UU PKDRT frasa “pembatasan gerak pelaku baik yang bertujuan untuk menjauhkan pelaku dari korban dalam jarak dan waktu tertentu”, sebagai pidana tambahan memberikan kemanfaatan bagi korban KDRT? (2) Bagaimana pengaturan pidana tambahan yang memberikan kemanfaatan bagi korban KDRT? </w:t>
      </w:r>
    </w:p>
    <w:p w14:paraId="3E42C308" w14:textId="77777777" w:rsidR="001B61D6" w:rsidRDefault="001B61D6" w:rsidP="001B61D6">
      <w:pPr>
        <w:spacing w:line="274" w:lineRule="auto"/>
        <w:ind w:left="0" w:right="7" w:firstLine="721"/>
      </w:pPr>
      <w:r>
        <w:t xml:space="preserve">Penelitian ini menerapkan metode yuridis normatif dengan pendekatan perundang-undangan dan konseptual. Sumber data terdiri atas peraturan perundang-undangan, literatur hukum, dan dokumen hukum lainnya yang dianalisis secara kualitatif dengan pendekatan logika deduktif dan induktif untuk merumuskan argumentasi hukum yang sistematis. </w:t>
      </w:r>
    </w:p>
    <w:p w14:paraId="2240CCBF" w14:textId="77777777" w:rsidR="001B61D6" w:rsidRDefault="001B61D6" w:rsidP="001B61D6">
      <w:pPr>
        <w:spacing w:line="274" w:lineRule="auto"/>
        <w:ind w:left="0" w:right="7" w:firstLine="721"/>
      </w:pPr>
      <w:r>
        <w:t xml:space="preserve">Hasil penelitian menunjukkan bahwa pengaturan pidana tambahan frasa “pembatasan gerak pelaku terhadap korban” sebagaimana yang dimaksud dalam Pasal 50 huruf a UU PKDRT belum memberikan kemanfaatan hukum yang optimal.  Hal ini dikarenakan substansi pidana tambahan dengan pidana pokok penjara secara fungsi sudah otomatis memisahkan pelaku dari korban. Akibatnya, ketentuan ini belum memberikan manfaat tambahan khususnya dalam mendukung proses pemulihan korban KDRT. Oleh karena itu, diperlukan penguatan substansi hukum yang mengatur secara lebih berpihak terhadap korban, mengingat tindak pidana KDRT korban seringkali mengalami kerugian akibat kekerasan yang dialami. Maka akan lebih memberikan perlindungan hukum yang berdayaguna dan bermanfaat sebagai pemulihan korban KDRT dengan pemberian ganti kerugian (restitusi) </w:t>
      </w:r>
      <w:r>
        <w:lastRenderedPageBreak/>
        <w:t xml:space="preserve">sebagaimana pencerminan asas kedayagunaan dan kehasilgunaan.sesuai pasal 5 huruf e UU No. 12 Tahun 2011 tentang UU PP Perundang-Undangan. </w:t>
      </w:r>
    </w:p>
    <w:p w14:paraId="2AFB6FC3" w14:textId="77777777" w:rsidR="001B61D6" w:rsidRDefault="001B61D6" w:rsidP="001B61D6">
      <w:pPr>
        <w:spacing w:after="278" w:line="265" w:lineRule="auto"/>
        <w:ind w:left="657" w:right="704"/>
        <w:jc w:val="center"/>
      </w:pPr>
      <w:r>
        <w:rPr>
          <w:b/>
        </w:rPr>
        <w:t>ABSTRACT</w:t>
      </w:r>
    </w:p>
    <w:p w14:paraId="0AFB6469" w14:textId="77777777" w:rsidR="001B61D6" w:rsidRDefault="001B61D6" w:rsidP="001B61D6">
      <w:pPr>
        <w:tabs>
          <w:tab w:val="center" w:pos="2698"/>
        </w:tabs>
        <w:spacing w:line="259" w:lineRule="auto"/>
        <w:ind w:left="0" w:right="0" w:firstLine="0"/>
        <w:jc w:val="left"/>
      </w:pPr>
      <w:r>
        <w:t xml:space="preserve">Name   </w:t>
      </w:r>
      <w:r>
        <w:tab/>
        <w:t xml:space="preserve">: Riska Ayu Setyaningrum </w:t>
      </w:r>
    </w:p>
    <w:p w14:paraId="6947B814" w14:textId="77777777" w:rsidR="001B61D6" w:rsidRDefault="001B61D6" w:rsidP="001B61D6">
      <w:pPr>
        <w:tabs>
          <w:tab w:val="center" w:pos="721"/>
          <w:tab w:val="center" w:pos="2158"/>
        </w:tabs>
        <w:spacing w:line="259" w:lineRule="auto"/>
        <w:ind w:left="0" w:right="0" w:firstLine="0"/>
        <w:jc w:val="left"/>
      </w:pPr>
      <w:r>
        <w:t xml:space="preserve">NIM </w:t>
      </w:r>
      <w:r>
        <w:tab/>
        <w:t xml:space="preserve"> </w:t>
      </w:r>
      <w:r>
        <w:tab/>
        <w:t xml:space="preserve">: 21107710038 </w:t>
      </w:r>
    </w:p>
    <w:p w14:paraId="7F6DD059" w14:textId="77777777" w:rsidR="001B61D6" w:rsidRDefault="001B61D6" w:rsidP="001B61D6">
      <w:pPr>
        <w:spacing w:line="237" w:lineRule="auto"/>
        <w:ind w:left="1561" w:right="8" w:hanging="1561"/>
      </w:pPr>
      <w:r>
        <w:t xml:space="preserve">Title            : Analisis Yuridis Pengaturan Pidana Tambahan Pembatasan Gerak Pelaku Terhadap Korban Dalam Pasal 50 A Undang-Undang </w:t>
      </w:r>
    </w:p>
    <w:p w14:paraId="32DED48D" w14:textId="77777777" w:rsidR="001B61D6" w:rsidRDefault="001B61D6" w:rsidP="001B61D6">
      <w:pPr>
        <w:spacing w:after="0" w:line="259" w:lineRule="auto"/>
        <w:ind w:left="298" w:right="64"/>
        <w:jc w:val="right"/>
      </w:pPr>
      <w:r>
        <w:t xml:space="preserve">Nomor 23 Tahun 2004 Tentang Penghapusan Kekerasan Dalam </w:t>
      </w:r>
    </w:p>
    <w:p w14:paraId="298D068E" w14:textId="77777777" w:rsidR="001B61D6" w:rsidRDefault="001B61D6" w:rsidP="001B61D6">
      <w:pPr>
        <w:spacing w:line="259" w:lineRule="auto"/>
        <w:ind w:left="1571" w:right="8"/>
      </w:pPr>
      <w:r>
        <w:t xml:space="preserve">Rumah Tangga </w:t>
      </w:r>
    </w:p>
    <w:p w14:paraId="22414D8E" w14:textId="77777777" w:rsidR="001B61D6" w:rsidRDefault="001B61D6" w:rsidP="001B61D6">
      <w:pPr>
        <w:spacing w:line="259" w:lineRule="auto"/>
        <w:ind w:right="8"/>
      </w:pPr>
      <w:r>
        <w:t xml:space="preserve">Supervisors     : Dr.Kasiani, S.H.,M.H (Supervisors I) </w:t>
      </w:r>
    </w:p>
    <w:p w14:paraId="3E48FD81" w14:textId="77777777" w:rsidR="001B61D6" w:rsidRDefault="001B61D6" w:rsidP="001B61D6">
      <w:pPr>
        <w:spacing w:after="0" w:line="265" w:lineRule="auto"/>
        <w:ind w:left="894" w:right="955"/>
        <w:jc w:val="center"/>
      </w:pPr>
      <w:r>
        <w:t xml:space="preserve">Fitriyah Nurrahmah, S.H.I., M.H. (Supervisors II) </w:t>
      </w:r>
    </w:p>
    <w:p w14:paraId="11320B31" w14:textId="77777777" w:rsidR="001B61D6" w:rsidRDefault="001B61D6" w:rsidP="001B61D6">
      <w:pPr>
        <w:tabs>
          <w:tab w:val="center" w:pos="4292"/>
        </w:tabs>
        <w:spacing w:line="259" w:lineRule="auto"/>
        <w:ind w:left="0" w:right="0" w:firstLine="0"/>
        <w:jc w:val="left"/>
      </w:pPr>
      <w:r>
        <w:t xml:space="preserve">Keywords  </w:t>
      </w:r>
      <w:r>
        <w:tab/>
        <w:t xml:space="preserve">: Domestic Violence, Additional Punishment, Legal Benefit </w:t>
      </w:r>
    </w:p>
    <w:p w14:paraId="47E41BA9" w14:textId="77777777" w:rsidR="001B61D6" w:rsidRDefault="001B61D6" w:rsidP="001B61D6">
      <w:pPr>
        <w:spacing w:after="20" w:line="259" w:lineRule="auto"/>
        <w:ind w:left="721" w:right="0" w:firstLine="0"/>
        <w:jc w:val="left"/>
      </w:pPr>
      <w:r>
        <w:t xml:space="preserve"> </w:t>
      </w:r>
    </w:p>
    <w:p w14:paraId="1505F977" w14:textId="77777777" w:rsidR="001B61D6" w:rsidRDefault="001B61D6" w:rsidP="001B61D6">
      <w:pPr>
        <w:spacing w:line="274" w:lineRule="auto"/>
        <w:ind w:left="0" w:right="8" w:firstLine="721"/>
      </w:pPr>
      <w:r>
        <w:t xml:space="preserve">KDRT is a criminal act of violence that has a serious impact on the physical, psychological, and social conditions of victims within the household sphere. UU PKDRT regulates both principal and additional criminal sanctions. This study examines the regulation of additional punishment under Article 50 letter a of the UU PKDRT, specifically the phrase "restriction of the perpetrator’s movement toward the victim," which is considered to overlap with the principal punishment of imprisonment as stipulated in Articles 44 through 49. This raises questions about the utility and effectiveness of this additional sanction in providing legal protection for victims of domestic violence.Based on this issue, the study formulates two main problems: (1) Does Article 50 letter a of the UU PKDRT, which stipulates the additional punishment of restricting the perpetrator’s movement to maintain a certain distance and time from the victim, provide legal utility for victims of domestic violence? (2) How should the regulation of additional punishment be formulated to ensure benefits for victims of domestic violence? </w:t>
      </w:r>
    </w:p>
    <w:p w14:paraId="21400042" w14:textId="77777777" w:rsidR="001B61D6" w:rsidRDefault="001B61D6" w:rsidP="001B61D6">
      <w:pPr>
        <w:spacing w:line="275" w:lineRule="auto"/>
        <w:ind w:left="0" w:right="8" w:firstLine="721"/>
      </w:pPr>
      <w:r>
        <w:t xml:space="preserve">This research uses a normative juridical method with a statutory and conceptual approach. The sources of data consist of legislation, legal literature, and supporting legal documents, which are analyzed qualitatively using deductive and inductive logic to construct a systematic legal argument. </w:t>
      </w:r>
    </w:p>
    <w:p w14:paraId="2F569608" w14:textId="77777777" w:rsidR="001B61D6" w:rsidRDefault="001B61D6" w:rsidP="001B61D6">
      <w:pPr>
        <w:spacing w:line="274" w:lineRule="auto"/>
        <w:ind w:left="0" w:right="8" w:firstLine="721"/>
      </w:pPr>
      <w:r>
        <w:t xml:space="preserve">The results of the study show that the regulation of additional punishment in the form of restricting the perpetrator’s movement toward the victim, as stipulated in Article 50 letter a of the UU PKDRT, has not provided optimal legal utility. This is due to the fact that its function overlaps with the principal punishment of imprisonment, which already results in the physical separation of the perpetrator from the victim. Consequently, this provision does not offer additional benefits, particularly in supporting the victim’s recovery process. Therefore, it is necessary to strengthen the legal substance of the additional punishment by formulating it in a way that is more victim oriented. Considering that victims of domestic violence often suffer tangible harm, legal protection should go further by providing compensation (restitution) as a form of recovery. This reflects the principle of utility and </w:t>
      </w:r>
      <w:r>
        <w:lastRenderedPageBreak/>
        <w:t xml:space="preserve">effectiveness as outlined in Article 5 letter e of Law Number 12 of 2011 on the Formation of Laws and Regulations. </w:t>
      </w:r>
    </w:p>
    <w:p w14:paraId="0564229F" w14:textId="77777777" w:rsidR="00D35071" w:rsidRPr="001B61D6" w:rsidRDefault="004729F6" w:rsidP="001B61D6">
      <w:r w:rsidRPr="001B61D6">
        <w:t xml:space="preserve"> </w:t>
      </w:r>
    </w:p>
    <w:sectPr w:rsidR="00D35071" w:rsidRPr="001B61D6">
      <w:footerReference w:type="even" r:id="rId7"/>
      <w:footerReference w:type="default" r:id="rId8"/>
      <w:footerReference w:type="first" r:id="rId9"/>
      <w:pgSz w:w="11905" w:h="16840"/>
      <w:pgMar w:top="1706" w:right="1685" w:bottom="1702" w:left="2091" w:header="720"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8181" w14:textId="77777777" w:rsidR="004729F6" w:rsidRDefault="004729F6">
      <w:pPr>
        <w:spacing w:after="0" w:line="240" w:lineRule="auto"/>
      </w:pPr>
      <w:r>
        <w:separator/>
      </w:r>
    </w:p>
  </w:endnote>
  <w:endnote w:type="continuationSeparator" w:id="0">
    <w:p w14:paraId="36858399" w14:textId="77777777" w:rsidR="004729F6" w:rsidRDefault="0047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501A" w14:textId="77777777" w:rsidR="00D35071" w:rsidRDefault="004729F6">
    <w:pPr>
      <w:spacing w:after="0" w:line="259" w:lineRule="auto"/>
      <w:ind w:left="166" w:right="0"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77429AAE" w14:textId="77777777" w:rsidR="00D35071" w:rsidRDefault="004729F6">
    <w:pPr>
      <w:spacing w:after="0" w:line="259" w:lineRule="auto"/>
      <w:ind w:left="18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D2F1" w14:textId="77777777" w:rsidR="00D35071" w:rsidRDefault="004729F6">
    <w:pPr>
      <w:spacing w:after="10" w:line="259" w:lineRule="auto"/>
      <w:ind w:left="1211" w:right="0" w:firstLine="0"/>
      <w:jc w:val="left"/>
    </w:pPr>
    <w:r>
      <w:rPr>
        <w:sz w:val="20"/>
      </w:rPr>
      <w:t xml:space="preserve"> </w:t>
    </w:r>
    <w:r>
      <w:rPr>
        <w:sz w:val="20"/>
      </w:rPr>
      <w:tab/>
      <w:t xml:space="preserve"> </w:t>
    </w:r>
    <w:r>
      <w:rPr>
        <w:sz w:val="20"/>
      </w:rPr>
      <w:tab/>
      <w:t xml:space="preserve"> </w:t>
    </w:r>
  </w:p>
  <w:p w14:paraId="165361B0" w14:textId="77777777" w:rsidR="00D35071" w:rsidRDefault="004729F6">
    <w:pPr>
      <w:spacing w:after="435" w:line="259" w:lineRule="auto"/>
      <w:ind w:left="1211" w:right="0" w:firstLine="0"/>
      <w:jc w:val="left"/>
    </w:pPr>
    <w:r>
      <w:rPr>
        <w:sz w:val="20"/>
      </w:rPr>
      <w:t xml:space="preserve"> </w:t>
    </w:r>
    <w:r>
      <w:rPr>
        <w:sz w:val="20"/>
      </w:rPr>
      <w:tab/>
      <w:t xml:space="preserve"> </w:t>
    </w:r>
    <w:r>
      <w:rPr>
        <w:sz w:val="20"/>
      </w:rPr>
      <w:tab/>
      <w:t xml:space="preserve"> </w:t>
    </w:r>
    <w:r>
      <w:rPr>
        <w:sz w:val="20"/>
      </w:rPr>
      <w:tab/>
      <w:t xml:space="preserve"> </w:t>
    </w:r>
  </w:p>
  <w:p w14:paraId="17D75343" w14:textId="77777777" w:rsidR="00D35071" w:rsidRDefault="004729F6">
    <w:pPr>
      <w:spacing w:after="0" w:line="259" w:lineRule="auto"/>
      <w:ind w:left="166" w:right="0" w:firstLine="0"/>
      <w:jc w:val="center"/>
    </w:pPr>
    <w:r>
      <w:fldChar w:fldCharType="begin"/>
    </w:r>
    <w:r>
      <w:instrText xml:space="preserve"> PAGE   \* MERGEFORMAT </w:instrText>
    </w:r>
    <w:r>
      <w:fldChar w:fldCharType="separate"/>
    </w:r>
    <w:r>
      <w:rPr>
        <w:rFonts w:ascii="Calibri" w:eastAsia="Calibri" w:hAnsi="Calibri" w:cs="Calibri"/>
      </w:rPr>
      <w:t>3</w:t>
    </w:r>
    <w:r>
      <w:rPr>
        <w:rFonts w:ascii="Calibri" w:eastAsia="Calibri" w:hAnsi="Calibri" w:cs="Calibri"/>
      </w:rPr>
      <w:fldChar w:fldCharType="end"/>
    </w:r>
    <w:r>
      <w:rPr>
        <w:rFonts w:ascii="Calibri" w:eastAsia="Calibri" w:hAnsi="Calibri" w:cs="Calibri"/>
      </w:rPr>
      <w:t xml:space="preserve"> </w:t>
    </w:r>
  </w:p>
  <w:p w14:paraId="3AA1FF44" w14:textId="77777777" w:rsidR="00D35071" w:rsidRDefault="004729F6">
    <w:pPr>
      <w:spacing w:after="0" w:line="259" w:lineRule="auto"/>
      <w:ind w:left="18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8560" w14:textId="77777777" w:rsidR="00D35071" w:rsidRDefault="004729F6">
    <w:pPr>
      <w:spacing w:after="435" w:line="259" w:lineRule="auto"/>
      <w:ind w:left="1271" w:right="0" w:firstLine="0"/>
      <w:jc w:val="left"/>
    </w:pPr>
    <w:r>
      <w:rPr>
        <w:sz w:val="20"/>
      </w:rPr>
      <w:t xml:space="preserve"> </w:t>
    </w:r>
    <w:r>
      <w:rPr>
        <w:sz w:val="20"/>
      </w:rPr>
      <w:tab/>
      <w:t xml:space="preserve"> </w:t>
    </w:r>
  </w:p>
  <w:p w14:paraId="66979342" w14:textId="77777777" w:rsidR="00D35071" w:rsidRDefault="004729F6">
    <w:pPr>
      <w:spacing w:after="0" w:line="259" w:lineRule="auto"/>
      <w:ind w:left="166" w:righ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FF92D95" w14:textId="77777777" w:rsidR="00D35071" w:rsidRDefault="004729F6">
    <w:pPr>
      <w:spacing w:after="0" w:line="259" w:lineRule="auto"/>
      <w:ind w:left="18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ED32" w14:textId="77777777" w:rsidR="00D35071" w:rsidRDefault="004729F6">
      <w:pPr>
        <w:spacing w:after="13" w:line="243" w:lineRule="auto"/>
        <w:ind w:left="180" w:right="0" w:firstLine="540"/>
      </w:pPr>
      <w:r>
        <w:separator/>
      </w:r>
    </w:p>
  </w:footnote>
  <w:footnote w:type="continuationSeparator" w:id="0">
    <w:p w14:paraId="2C5453C8" w14:textId="77777777" w:rsidR="00D35071" w:rsidRDefault="004729F6">
      <w:pPr>
        <w:spacing w:after="13" w:line="243" w:lineRule="auto"/>
        <w:ind w:left="180" w:right="0" w:firstLine="5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F5B"/>
    <w:multiLevelType w:val="hybridMultilevel"/>
    <w:tmpl w:val="FFFFFFFF"/>
    <w:lvl w:ilvl="0" w:tplc="7AD6C8D0">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6E9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52BA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AB7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24EB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CA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847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6603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6E5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A008D3"/>
    <w:multiLevelType w:val="hybridMultilevel"/>
    <w:tmpl w:val="FFFFFFFF"/>
    <w:lvl w:ilvl="0" w:tplc="83806C2E">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A83BBA">
      <w:start w:val="1"/>
      <w:numFmt w:val="lowerLetter"/>
      <w:lvlText w:val="%2)"/>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92525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3608B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FADB2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444E7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A6400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C5ED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9C2D3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F14D32"/>
    <w:multiLevelType w:val="hybridMultilevel"/>
    <w:tmpl w:val="FFFFFFFF"/>
    <w:lvl w:ilvl="0" w:tplc="9CCA7C1C">
      <w:start w:val="1"/>
      <w:numFmt w:val="decimal"/>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845ED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4CD9F8">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F21BA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D0A66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52015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E8B29E">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48C7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70A1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630C21"/>
    <w:multiLevelType w:val="hybridMultilevel"/>
    <w:tmpl w:val="FFFFFFFF"/>
    <w:lvl w:ilvl="0" w:tplc="EBE2FC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1C5FF0">
      <w:start w:val="1"/>
      <w:numFmt w:val="lowerLetter"/>
      <w:lvlText w:val="%2"/>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E0ABDC">
      <w:start w:val="1"/>
      <w:numFmt w:val="lowerRoman"/>
      <w:lvlText w:val="%3"/>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38149A">
      <w:start w:val="1"/>
      <w:numFmt w:val="decimal"/>
      <w:lvlText w:val="%4"/>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A4628">
      <w:start w:val="1"/>
      <w:numFmt w:val="lowerLetter"/>
      <w:lvlText w:val="%5"/>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04851A">
      <w:start w:val="1"/>
      <w:numFmt w:val="lowerRoman"/>
      <w:lvlText w:val="%6"/>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F22AD8">
      <w:start w:val="1"/>
      <w:numFmt w:val="decimal"/>
      <w:lvlText w:val="%7"/>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D6FA04">
      <w:start w:val="1"/>
      <w:numFmt w:val="lowerLetter"/>
      <w:lvlText w:val="%8"/>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32E7FA">
      <w:start w:val="1"/>
      <w:numFmt w:val="lowerRoman"/>
      <w:lvlText w:val="%9"/>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CD6B3F"/>
    <w:multiLevelType w:val="hybridMultilevel"/>
    <w:tmpl w:val="FFFFFFFF"/>
    <w:lvl w:ilvl="0" w:tplc="29EA4C30">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80D10E">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16514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D2BBEC">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8E90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8DE2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9C4C9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0AAC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9E809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D16493"/>
    <w:multiLevelType w:val="hybridMultilevel"/>
    <w:tmpl w:val="FFFFFFFF"/>
    <w:lvl w:ilvl="0" w:tplc="69CADCA4">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6E89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1E4EF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30EF4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46439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D874D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CC0EB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C4414E">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E2D4EC">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FF07C0"/>
    <w:multiLevelType w:val="hybridMultilevel"/>
    <w:tmpl w:val="FFFFFFFF"/>
    <w:lvl w:ilvl="0" w:tplc="FDF40310">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A4D6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74795C">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2335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E3A7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F8DAB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A35B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22EC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C747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374A78"/>
    <w:multiLevelType w:val="hybridMultilevel"/>
    <w:tmpl w:val="FFFFFFFF"/>
    <w:lvl w:ilvl="0" w:tplc="5992A020">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B8E48C">
      <w:start w:val="1"/>
      <w:numFmt w:val="decimal"/>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30B5D4">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BC1C72">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A414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6E1490">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68BC2A">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B8B77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EE4B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AA7E80"/>
    <w:multiLevelType w:val="hybridMultilevel"/>
    <w:tmpl w:val="FFFFFFFF"/>
    <w:lvl w:ilvl="0" w:tplc="8E2A49E2">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8885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C033A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D6452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A0D1D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ECF66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4AE30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4C060">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80977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8506D8"/>
    <w:multiLevelType w:val="hybridMultilevel"/>
    <w:tmpl w:val="FFFFFFFF"/>
    <w:lvl w:ilvl="0" w:tplc="9910858E">
      <w:start w:val="1"/>
      <w:numFmt w:val="decimal"/>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9085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A60C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A2D7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9095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0D7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526B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C6B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C41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066FF1"/>
    <w:multiLevelType w:val="hybridMultilevel"/>
    <w:tmpl w:val="FFFFFFFF"/>
    <w:lvl w:ilvl="0" w:tplc="680E69FE">
      <w:start w:val="1"/>
      <w:numFmt w:val="decimal"/>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80432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2244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4D3FC">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2A6F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527E3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07BA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6360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8439E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BE054F"/>
    <w:multiLevelType w:val="hybridMultilevel"/>
    <w:tmpl w:val="FFFFFFFF"/>
    <w:lvl w:ilvl="0" w:tplc="96FEF6C4">
      <w:start w:val="1"/>
      <w:numFmt w:val="decimal"/>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037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FCA5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A39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A40C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C8B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EB6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C8AA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7EAE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E797BF3"/>
    <w:multiLevelType w:val="hybridMultilevel"/>
    <w:tmpl w:val="FFFFFFFF"/>
    <w:lvl w:ilvl="0" w:tplc="D94231E6">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3A33B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89DA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3A563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F4CCE2">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4D69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0F17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6CD5B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DE7D9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503946"/>
    <w:multiLevelType w:val="hybridMultilevel"/>
    <w:tmpl w:val="FFFFFFFF"/>
    <w:lvl w:ilvl="0" w:tplc="EAE056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34341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2C5FB8">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CA5E2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D2B2EE">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8821A8">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2F5B4">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9C5D56">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C0F304">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EB25A2"/>
    <w:multiLevelType w:val="hybridMultilevel"/>
    <w:tmpl w:val="FFFFFFFF"/>
    <w:lvl w:ilvl="0" w:tplc="DF7898A8">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0CF4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14E5E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9E7E7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3A2C0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23C5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84E10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289A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4F65A">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0A91A3D"/>
    <w:multiLevelType w:val="hybridMultilevel"/>
    <w:tmpl w:val="FFFFFFFF"/>
    <w:lvl w:ilvl="0" w:tplc="8626D74C">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042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F89B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245F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CE5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9C5A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74F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7889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4D4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316D54"/>
    <w:multiLevelType w:val="hybridMultilevel"/>
    <w:tmpl w:val="FFFFFFFF"/>
    <w:lvl w:ilvl="0" w:tplc="1FE03B90">
      <w:start w:val="1"/>
      <w:numFmt w:val="lowerLetter"/>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832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B6FC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5CE6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AAA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68C8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4EEB5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A35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1EF4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9BE28A9"/>
    <w:multiLevelType w:val="hybridMultilevel"/>
    <w:tmpl w:val="FFFFFFFF"/>
    <w:lvl w:ilvl="0" w:tplc="2828DB88">
      <w:start w:val="1"/>
      <w:numFmt w:val="lowerLetter"/>
      <w:lvlText w:val="%1."/>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60402">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8ECE2">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10677A">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BCF334">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D86FCA">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3AA6">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889EA">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247B6">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00007A"/>
    <w:multiLevelType w:val="hybridMultilevel"/>
    <w:tmpl w:val="FFFFFFFF"/>
    <w:lvl w:ilvl="0" w:tplc="12C8CFB0">
      <w:start w:val="1"/>
      <w:numFmt w:val="lowerLetter"/>
      <w:lvlText w:val="%1)"/>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C05556">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54B58C">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B8368A">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4A50E2">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94C116">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A8C18">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AA9D0E">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616F8">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C643F6D"/>
    <w:multiLevelType w:val="hybridMultilevel"/>
    <w:tmpl w:val="FFFFFFFF"/>
    <w:lvl w:ilvl="0" w:tplc="F726F4B8">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C88A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402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C95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64CB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8851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D839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A7E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4D4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26505A"/>
    <w:multiLevelType w:val="hybridMultilevel"/>
    <w:tmpl w:val="FFFFFFFF"/>
    <w:lvl w:ilvl="0" w:tplc="B7780C20">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68E5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4BF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18F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C5D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039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D463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EAAA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6C4F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0A14931"/>
    <w:multiLevelType w:val="hybridMultilevel"/>
    <w:tmpl w:val="FFFFFFFF"/>
    <w:lvl w:ilvl="0" w:tplc="53DEC09C">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6CB3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1E7E1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5013C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86D34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96CBD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6A96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0B8F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EC16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26218B7"/>
    <w:multiLevelType w:val="hybridMultilevel"/>
    <w:tmpl w:val="FFFFFFFF"/>
    <w:lvl w:ilvl="0" w:tplc="C60C395E">
      <w:start w:val="1"/>
      <w:numFmt w:val="lowerLetter"/>
      <w:lvlText w:val="%1)"/>
      <w:lvlJc w:val="left"/>
      <w:pPr>
        <w:ind w:left="1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A2A96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D6DAA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92CF6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8A1B0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E65ED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4339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0936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3A9CC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307020"/>
    <w:multiLevelType w:val="hybridMultilevel"/>
    <w:tmpl w:val="FFFFFFFF"/>
    <w:lvl w:ilvl="0" w:tplc="A036B5DA">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6E02C">
      <w:start w:val="2"/>
      <w:numFmt w:val="lowerLetter"/>
      <w:lvlText w:val="%2)"/>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50B54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52FB7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E82B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D8A69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027D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CE80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1C914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8511862"/>
    <w:multiLevelType w:val="hybridMultilevel"/>
    <w:tmpl w:val="FFFFFFFF"/>
    <w:lvl w:ilvl="0" w:tplc="1F58BE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E7C04">
      <w:start w:val="1"/>
      <w:numFmt w:val="lowerLetter"/>
      <w:lvlText w:val="%2)"/>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5C998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981E5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A813A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1A080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1AC58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B45E7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C843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21280968">
    <w:abstractNumId w:val="19"/>
  </w:num>
  <w:num w:numId="2" w16cid:durableId="1752238608">
    <w:abstractNumId w:val="12"/>
  </w:num>
  <w:num w:numId="3" w16cid:durableId="2095664749">
    <w:abstractNumId w:val="6"/>
  </w:num>
  <w:num w:numId="4" w16cid:durableId="157498389">
    <w:abstractNumId w:val="20"/>
  </w:num>
  <w:num w:numId="5" w16cid:durableId="2054620923">
    <w:abstractNumId w:val="0"/>
  </w:num>
  <w:num w:numId="6" w16cid:durableId="113717083">
    <w:abstractNumId w:val="15"/>
  </w:num>
  <w:num w:numId="7" w16cid:durableId="137000011">
    <w:abstractNumId w:val="21"/>
  </w:num>
  <w:num w:numId="8" w16cid:durableId="1834100114">
    <w:abstractNumId w:val="4"/>
  </w:num>
  <w:num w:numId="9" w16cid:durableId="294718128">
    <w:abstractNumId w:val="7"/>
  </w:num>
  <w:num w:numId="10" w16cid:durableId="1379161149">
    <w:abstractNumId w:val="24"/>
  </w:num>
  <w:num w:numId="11" w16cid:durableId="190608688">
    <w:abstractNumId w:val="1"/>
  </w:num>
  <w:num w:numId="12" w16cid:durableId="953444370">
    <w:abstractNumId w:val="23"/>
  </w:num>
  <w:num w:numId="13" w16cid:durableId="327831223">
    <w:abstractNumId w:val="22"/>
  </w:num>
  <w:num w:numId="14" w16cid:durableId="158427662">
    <w:abstractNumId w:val="10"/>
  </w:num>
  <w:num w:numId="15" w16cid:durableId="1014265127">
    <w:abstractNumId w:val="8"/>
  </w:num>
  <w:num w:numId="16" w16cid:durableId="1876885802">
    <w:abstractNumId w:val="14"/>
  </w:num>
  <w:num w:numId="17" w16cid:durableId="295914082">
    <w:abstractNumId w:val="2"/>
  </w:num>
  <w:num w:numId="18" w16cid:durableId="1200047229">
    <w:abstractNumId w:val="13"/>
  </w:num>
  <w:num w:numId="19" w16cid:durableId="962230599">
    <w:abstractNumId w:val="5"/>
  </w:num>
  <w:num w:numId="20" w16cid:durableId="1145586286">
    <w:abstractNumId w:val="18"/>
  </w:num>
  <w:num w:numId="21" w16cid:durableId="1162625301">
    <w:abstractNumId w:val="17"/>
  </w:num>
  <w:num w:numId="22" w16cid:durableId="1951472102">
    <w:abstractNumId w:val="16"/>
  </w:num>
  <w:num w:numId="23" w16cid:durableId="496187285">
    <w:abstractNumId w:val="9"/>
  </w:num>
  <w:num w:numId="24" w16cid:durableId="1022392261">
    <w:abstractNumId w:val="11"/>
  </w:num>
  <w:num w:numId="25" w16cid:durableId="1452090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71"/>
    <w:rsid w:val="00044A1E"/>
    <w:rsid w:val="001B61D6"/>
    <w:rsid w:val="002B553B"/>
    <w:rsid w:val="004729F6"/>
    <w:rsid w:val="00D35071"/>
    <w:rsid w:val="00D57D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F70E"/>
  <w15:docId w15:val="{D01314CD-D519-314C-A4D4-E137528D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483" w:lineRule="auto"/>
      <w:ind w:left="10" w:right="55"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249" w:line="265" w:lineRule="auto"/>
      <w:ind w:left="10" w:right="22"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48" w:line="265" w:lineRule="auto"/>
      <w:ind w:left="10" w:right="22"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48" w:line="265" w:lineRule="auto"/>
      <w:ind w:left="10" w:right="22"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ind w:left="18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riskaayusetyaningrum16@gmail.com</dc:creator>
  <cp:keywords/>
  <cp:lastModifiedBy>riska ayu</cp:lastModifiedBy>
  <cp:revision>3</cp:revision>
  <dcterms:created xsi:type="dcterms:W3CDTF">2025-10-14T14:16:00Z</dcterms:created>
  <dcterms:modified xsi:type="dcterms:W3CDTF">2025-10-14T14:29:00Z</dcterms:modified>
</cp:coreProperties>
</file>